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111AC">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宝安区2026年生态环境执法工作计划</w:t>
      </w:r>
    </w:p>
    <w:p w14:paraId="609BD93D">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lang w:val="en-US" w:eastAsia="zh-CN"/>
        </w:rPr>
      </w:pPr>
    </w:p>
    <w:p w14:paraId="59AF9455">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为贯彻落实国家、省、市关于生态环境执法工作</w:t>
      </w:r>
      <w:r>
        <w:rPr>
          <w:rFonts w:hint="eastAsia" w:ascii="仿宋_GB2312" w:hAnsi="仿宋_GB2312" w:cs="仿宋_GB2312"/>
          <w:lang w:val="en-US" w:eastAsia="zh-CN"/>
        </w:rPr>
        <w:t>有关</w:t>
      </w:r>
      <w:r>
        <w:rPr>
          <w:rFonts w:hint="eastAsia" w:ascii="仿宋_GB2312" w:hAnsi="仿宋_GB2312" w:eastAsia="仿宋_GB2312" w:cs="仿宋_GB2312"/>
          <w:lang w:val="en-US" w:eastAsia="zh-CN"/>
        </w:rPr>
        <w:t>要求，扎实做好</w:t>
      </w:r>
      <w:r>
        <w:rPr>
          <w:rFonts w:hint="eastAsia" w:ascii="仿宋_GB2312" w:hAnsi="仿宋_GB2312" w:cs="仿宋_GB2312"/>
          <w:lang w:val="en-US" w:eastAsia="zh-CN"/>
        </w:rPr>
        <w:t>宝安区</w:t>
      </w:r>
      <w:r>
        <w:rPr>
          <w:rFonts w:hint="eastAsia" w:ascii="仿宋_GB2312" w:hAnsi="仿宋_GB2312" w:eastAsia="仿宋_GB2312" w:cs="仿宋_GB2312"/>
          <w:lang w:val="en-US" w:eastAsia="zh-CN"/>
        </w:rPr>
        <w:t>2026年生态环境执法工作，落实污染源监管执法任务，推动生态环境污染防治和绿色低碳发展，结合我区实际，制定本计划。</w:t>
      </w:r>
    </w:p>
    <w:p w14:paraId="3E2CEB4E">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一、总体要求</w:t>
      </w:r>
    </w:p>
    <w:p w14:paraId="5363FF5C">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围绕持续深入推进污染防治攻坚中心任务，坚持稳中求进，注重提质增效，强化执法规范性与计划性。针对污染源开展“双随机、一公开”日常执法检查；针对问题线索开展快速精准的个案执法检查；针对突出环境问题和重点风险领域，进一步加大执法力度，深化科技手段应用，严厉打击各类环境违法行为，以生态环境高水平执法护航高质量发展。</w:t>
      </w:r>
    </w:p>
    <w:p w14:paraId="79B10B18">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二、主要任务目标</w:t>
      </w:r>
    </w:p>
    <w:p w14:paraId="7CA412A8">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（一）日常执法检查方面。</w:t>
      </w:r>
      <w:r>
        <w:rPr>
          <w:rFonts w:hint="eastAsia" w:ascii="仿宋_GB2312" w:hAnsi="仿宋_GB2312" w:eastAsia="仿宋_GB2312" w:cs="仿宋_GB2312"/>
          <w:lang w:val="en-US" w:eastAsia="zh-CN"/>
        </w:rPr>
        <w:t>全面深化“双随机、一公开”监管，强化分级分类管理，合理设置不同的抽查比例和频次，实施差异化精准监管，按时按质完成抽查任务，季度内各月的完成率依次达到30%、70%、100%，加强统筹计划和事前准备，高效开展日常检查。开展移动源监管执法，全面完成202</w:t>
      </w:r>
      <w:r>
        <w:rPr>
          <w:rFonts w:hint="eastAsia" w:ascii="仿宋_GB2312" w:hAnsi="仿宋_GB2312" w:eastAsia="仿宋_GB2312" w:cs="仿宋_GB2312"/>
          <w:lang w:val="en" w:eastAsia="zh-CN"/>
        </w:rPr>
        <w:t>6</w:t>
      </w:r>
      <w:r>
        <w:rPr>
          <w:rFonts w:hint="eastAsia" w:ascii="仿宋_GB2312" w:hAnsi="仿宋_GB2312" w:eastAsia="仿宋_GB2312" w:cs="仿宋_GB2312"/>
          <w:lang w:val="en-US" w:eastAsia="zh-CN"/>
        </w:rPr>
        <w:t>年“深圳蓝”下达的新车（机械）执法检查、非道路移动机械执法检查，100%完成用车大户、机动车排放检验机构、加油站和储油库的“双随机、一公开”监管抽查任务。</w:t>
      </w:r>
    </w:p>
    <w:p w14:paraId="676A7C2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（二）个案执法检查方面。</w:t>
      </w:r>
      <w:r>
        <w:rPr>
          <w:rFonts w:hint="eastAsia" w:ascii="仿宋_GB2312" w:hAnsi="仿宋_GB2312" w:eastAsia="仿宋_GB2312" w:cs="仿宋_GB2312"/>
          <w:lang w:val="en-US" w:eastAsia="zh-CN"/>
        </w:rPr>
        <w:t>根据投诉举报、转办交办、数据监测、应急处置、舆情发酵、非现场监管执法等相关问题线索或应企业申请等实施相关执法检查，响应开展执法，加强监控预警和监测溯源，精准开展个案检查。实现国发平台、省物联网平台、市智慧环保平台以及其他智慧监控系统异常预警的全流程线上响应与100%闭环处理。</w:t>
      </w:r>
    </w:p>
    <w:p w14:paraId="044255D7">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（三）专项执法检查方面。</w:t>
      </w:r>
      <w:r>
        <w:rPr>
          <w:rFonts w:hint="eastAsia" w:ascii="仿宋_GB2312" w:hAnsi="仿宋_GB2312" w:eastAsia="仿宋_GB2312" w:cs="仿宋_GB2312"/>
          <w:lang w:val="en-US" w:eastAsia="zh-CN"/>
        </w:rPr>
        <w:t>按照上级部署安排及工作需要，履行报批等程序，完成专项执法检查任务。</w:t>
      </w:r>
    </w:p>
    <w:p w14:paraId="5C33F9EA">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（四）重点领域执法检查方面。</w:t>
      </w:r>
      <w:r>
        <w:rPr>
          <w:rFonts w:hint="eastAsia" w:ascii="仿宋_GB2312" w:hAnsi="仿宋_GB2312" w:eastAsia="仿宋_GB2312" w:cs="仿宋_GB2312"/>
          <w:lang w:val="en-US" w:eastAsia="zh-CN"/>
        </w:rPr>
        <w:t>针对突出环境问题和重点风险领域，进一步加大执法力度，严厉打击非法排污、非法倾倒、弄虚作假等环境违法行为。</w:t>
      </w:r>
    </w:p>
    <w:p w14:paraId="495E98FF">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三、执法计划</w:t>
      </w:r>
    </w:p>
    <w:p w14:paraId="2C13DFA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（一）日常执法检查计划</w:t>
      </w:r>
    </w:p>
    <w:p w14:paraId="08454E3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按照省、市“双随机、一公开”的工作要求，于每季度最后5个工作日前，完成下一季度的任务抽取，通过省生态环境量化监管平台（简称“省平台”），按规定比例抽取检查任务，按计划开展行政检查。对于固定源日常检查任务，由我局在省平台摇号抽取；对于移动源日常随机任务，由市局移动源处在深圳市智慧环保系统统一摇号抽取；对于跨部门联合检查任务，由我局在深圳市“双随机、一公开”监管平台中发起或响应。</w:t>
      </w:r>
    </w:p>
    <w:p w14:paraId="68B46E44">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1.固定源执法检查计划</w:t>
      </w:r>
    </w:p>
    <w:p w14:paraId="52E831F1">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（1）排污单位</w:t>
      </w:r>
    </w:p>
    <w:p w14:paraId="10C77C9F">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仿宋_GB2312" w:hAnsi="仿宋_GB2312" w:eastAsia="仿宋_GB2312" w:cs="仿宋_GB2312"/>
          <w:lang w:val="en-US" w:eastAsia="zh-CN"/>
        </w:rPr>
        <w:t>一般监管对象每个季度最低抽查比例为1：2.5（按照在岗在编执法人员数量与被抽查对象的比）；将纳入环境监管重点单位名录及实行排污许可重点管理的排污单位设置为重点监管对象，每个季度最低抽查比例为12.5%；将受到环境行政处罚或因包容审慎等政策免于处罚，环境信用评价等级为环保警示企业或环保不良企业，VOCs分级管理评为C级，季度内受到投诉10宗（含）以上，以及根据突发事件、专项治理行动或上级部门交办等需纳入特殊监管的排污单位设置为特殊监管对象，每个季度最低抽查比例为25%；对环境信用评价等级为环保诚信企业或环保良好企业，VOCs分级管理评为A级，纳入正面清单管理，以及其他可以通过资料核查、线上核实、数据分析等非现场方式实现有效监管的排污单位，原则上以非现场方式开展检查。</w:t>
      </w:r>
      <w:r>
        <w:rPr>
          <w:rFonts w:hint="eastAsia" w:ascii="楷体" w:hAnsi="楷体" w:eastAsia="楷体" w:cs="楷体"/>
          <w:lang w:val="en-US" w:eastAsia="zh-CN"/>
        </w:rPr>
        <w:t>（责任单位：执法监督科、各所，配合单位：环境管理科、宝安分站）</w:t>
      </w:r>
    </w:p>
    <w:p w14:paraId="4993FDD9">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（2）建设项目</w:t>
      </w:r>
    </w:p>
    <w:p w14:paraId="4001A915">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一般建设项目每个季度最低抽查比例为1:2.5（按照在岗在编执法人员数量与被抽查对象的比）；将石油加工、化工、有色金属冶炼、水泥、造纸、平板玻璃、钢铁等重点行业建设项目设置为重点建设项目，每个季度最低抽查比例为2.5%；将投诉举报多、有严重违法违规记录、环境风险等级高的建设项目设置为特殊建设项目，每个季度最低抽查比例为2.5%。</w:t>
      </w:r>
      <w:r>
        <w:rPr>
          <w:rFonts w:hint="eastAsia" w:ascii="楷体" w:hAnsi="楷体" w:eastAsia="楷体" w:cs="楷体"/>
          <w:lang w:val="en-US" w:eastAsia="zh-CN"/>
        </w:rPr>
        <w:t>（责任单位：执法监督科、各所，配合单位：行政服务科）</w:t>
      </w:r>
    </w:p>
    <w:p w14:paraId="1D86438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（3）入河排污口</w:t>
      </w:r>
    </w:p>
    <w:p w14:paraId="492D90C4">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一般监管对象每年最低抽查比例为1:2（按照在岗在编执法人员数量与被抽查对象的比）；将工矿企业、工业及其他各类园区污水处理厂、城镇污水处理厂等属于审批范围的入河排污口设置为重点监管对象，每个季度最低抽查比例为5%；将近两年存在生态环境严重违法问题、周边群众反映强烈、社会关注度高、污染防治设施不能稳定运行或未达到排污许可证规定，国家或省有关部门反馈存在问题的，以及排入水体水质未达标的入河排污口设置为特殊监管对象，每个季度最低抽查比例为20%。</w:t>
      </w:r>
      <w:r>
        <w:rPr>
          <w:rFonts w:hint="eastAsia" w:ascii="楷体" w:hAnsi="楷体" w:eastAsia="楷体" w:cs="楷体"/>
          <w:lang w:val="en-US" w:eastAsia="zh-CN"/>
        </w:rPr>
        <w:t>（责任单位：执法监督科、环境管理科、各所）</w:t>
      </w:r>
    </w:p>
    <w:p w14:paraId="63783F10">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（4）土壤污染环境监管重点单位</w:t>
      </w:r>
    </w:p>
    <w:p w14:paraId="1C1AF034">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每季度按5%的比例抽取辖区内土壤污染环境监管重点单位，对于移出重点监管单位名录的企业需在移出名录一年内通过专项随机抽查等方式至少开展一轮抽查。</w:t>
      </w:r>
      <w:r>
        <w:rPr>
          <w:rFonts w:hint="eastAsia" w:ascii="楷体" w:hAnsi="楷体" w:eastAsia="楷体" w:cs="楷体"/>
          <w:lang w:val="en-US" w:eastAsia="zh-CN"/>
        </w:rPr>
        <w:t>（责任单位：执法监督科、环境管理科、各所）</w:t>
      </w:r>
    </w:p>
    <w:p w14:paraId="123F185D">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（5）建设用地土壤污染风险管控和修复地块</w:t>
      </w:r>
    </w:p>
    <w:p w14:paraId="28FE49D5">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对广东省建设用地土壤污染风险管控和修复名录中地块风险管控和修复现场，每月按100%的比例抽取并开展检查。</w:t>
      </w:r>
      <w:r>
        <w:rPr>
          <w:rFonts w:hint="eastAsia" w:ascii="楷体" w:hAnsi="楷体" w:eastAsia="楷体" w:cs="楷体"/>
          <w:lang w:val="en-US" w:eastAsia="zh-CN"/>
        </w:rPr>
        <w:t>（责任单位：执法监督科、环境管理科、各所）</w:t>
      </w:r>
    </w:p>
    <w:p w14:paraId="72B3456F">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（6）社会生态环境监测机构</w:t>
      </w:r>
    </w:p>
    <w:p w14:paraId="02DB3D8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每个季度最低抽查比例为25%，不足1家的按1家计，原则上不重复检查。</w:t>
      </w:r>
      <w:r>
        <w:rPr>
          <w:rFonts w:hint="eastAsia" w:ascii="楷体" w:hAnsi="楷体" w:eastAsia="楷体" w:cs="楷体"/>
          <w:lang w:val="en-US" w:eastAsia="zh-CN"/>
        </w:rPr>
        <w:t>（责任单位：执法监督科、各所，配合单位：宝安分站）</w:t>
      </w:r>
    </w:p>
    <w:p w14:paraId="0ABBA8F8">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2.移动源执法检查计划</w:t>
      </w:r>
    </w:p>
    <w:p w14:paraId="050C534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（1）柴油车用车大户</w:t>
      </w:r>
    </w:p>
    <w:p w14:paraId="03F6FDE8">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对辖区内的柴油车用车大户进行检查，每季度按1%的比例抽取辖区内柴油车用车大户（不足1家的按1家计），对其在用柴油车排放情况开展检查。</w:t>
      </w:r>
      <w:r>
        <w:rPr>
          <w:rFonts w:hint="eastAsia" w:ascii="楷体" w:hAnsi="楷体" w:eastAsia="楷体" w:cs="楷体"/>
          <w:lang w:val="en-US" w:eastAsia="zh-CN"/>
        </w:rPr>
        <w:t>（责任单位：执法监督科、环境管理科、各所）</w:t>
      </w:r>
    </w:p>
    <w:p w14:paraId="34590B3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（2）机动车排放检验机构</w:t>
      </w:r>
    </w:p>
    <w:p w14:paraId="505B7EB5">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对辖区内的机动车排放检验机构开展检查，每季度按2.5%的比例抽取机动车排放检验机构（不足1家的按1家计，原则上本年度不重复检查），对其检验资质、检测方法、检测设备等开展检查。</w:t>
      </w:r>
      <w:r>
        <w:rPr>
          <w:rFonts w:hint="eastAsia" w:ascii="楷体" w:hAnsi="楷体" w:eastAsia="楷体" w:cs="楷体"/>
          <w:lang w:val="en-US" w:eastAsia="zh-CN"/>
        </w:rPr>
        <w:t>（责任单位：执法监督科、环境管理科、各所）</w:t>
      </w:r>
    </w:p>
    <w:p w14:paraId="5035B7B6">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（3）加油站和储油库</w:t>
      </w:r>
    </w:p>
    <w:p w14:paraId="7D657C96">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对辖区内的加油站、储油库开展检查，每季度按2.5%的比例抽取辖区内的加油站、储油库（不足1家的按1家计，原则上本年度不重复检查），对其油气回收情况开展检查。</w:t>
      </w:r>
      <w:r>
        <w:rPr>
          <w:rFonts w:hint="eastAsia" w:ascii="楷体" w:hAnsi="楷体" w:eastAsia="楷体" w:cs="楷体"/>
          <w:lang w:val="en-US" w:eastAsia="zh-CN"/>
        </w:rPr>
        <w:t>（责任单位：执法监督科、环境管理科、各所）</w:t>
      </w:r>
    </w:p>
    <w:p w14:paraId="2CD1E784">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3.跨部门联合检查计划</w:t>
      </w:r>
    </w:p>
    <w:p w14:paraId="687236FC">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严格按照“提前谋划、应联尽联、能拓则拓、主动发起”的原则，扩大联合抽查范围，达到市“双随机一公开”联席会议办公室确定的年度联合检查目标。根据《深圳市生态环境领域2026年“双随机、一公开”跨部门联合检查计划表》（附件）</w:t>
      </w:r>
      <w:r>
        <w:rPr>
          <w:rFonts w:hint="eastAsia" w:ascii="仿宋_GB2312" w:hAnsi="仿宋_GB2312" w:cs="仿宋_GB2312"/>
          <w:lang w:val="en-US" w:eastAsia="zh-CN"/>
        </w:rPr>
        <w:t>相关内容</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结合我区实际，</w:t>
      </w:r>
      <w:r>
        <w:rPr>
          <w:rFonts w:hint="eastAsia" w:ascii="仿宋_GB2312" w:hAnsi="仿宋_GB2312" w:eastAsia="仿宋_GB2312" w:cs="仿宋_GB2312"/>
          <w:lang w:val="en-US" w:eastAsia="zh-CN"/>
        </w:rPr>
        <w:t>对省平台抽取的检查任务进行详细梳理，从中选取合适的任务对象，依托深圳市“双随机、一公开”监管平台发起或响应同级政府相关部门的联合检查任务，会同辖区相关职能部门开展联合检查。于10底前完成所有跨部门联合抽查任务，并于11月30日前报送本年度跨部门联合检查工作总结。</w:t>
      </w:r>
      <w:r>
        <w:rPr>
          <w:rFonts w:hint="eastAsia" w:ascii="楷体" w:hAnsi="楷体" w:eastAsia="楷体" w:cs="楷体"/>
          <w:lang w:val="en-US" w:eastAsia="zh-CN"/>
        </w:rPr>
        <w:t>（责任单位：执法监督科、各所）</w:t>
      </w:r>
    </w:p>
    <w:p w14:paraId="1B42A954">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（二）个案执法检查计划</w:t>
      </w:r>
    </w:p>
    <w:p w14:paraId="6C51D11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积极配合</w:t>
      </w:r>
      <w:r>
        <w:rPr>
          <w:rFonts w:hint="eastAsia" w:ascii="仿宋_GB2312" w:hAnsi="仿宋_GB2312" w:cs="仿宋_GB2312"/>
          <w:lang w:val="en-US" w:eastAsia="zh-CN"/>
        </w:rPr>
        <w:t>市局</w:t>
      </w:r>
      <w:r>
        <w:rPr>
          <w:rFonts w:hint="eastAsia" w:ascii="仿宋_GB2312" w:hAnsi="仿宋_GB2312" w:eastAsia="仿宋_GB2312" w:cs="仿宋_GB2312"/>
          <w:lang w:val="en-US" w:eastAsia="zh-CN"/>
        </w:rPr>
        <w:t>执法处与智控中心推动整合市区两级感知端监控数据，</w:t>
      </w:r>
      <w:r>
        <w:rPr>
          <w:rFonts w:hint="eastAsia" w:ascii="仿宋_GB2312" w:hAnsi="仿宋_GB2312" w:eastAsia="仿宋_GB2312" w:cs="仿宋_GB2312"/>
          <w:lang w:val="en-US" w:eastAsia="zh-Hans"/>
        </w:rPr>
        <w:t>对市区两级已建</w:t>
      </w:r>
      <w:r>
        <w:rPr>
          <w:rFonts w:hint="eastAsia" w:ascii="仿宋_GB2312" w:hAnsi="仿宋_GB2312" w:eastAsia="仿宋_GB2312" w:cs="仿宋_GB2312"/>
          <w:lang w:val="en-US" w:eastAsia="zh-CN"/>
        </w:rPr>
        <w:t>的</w:t>
      </w:r>
      <w:r>
        <w:rPr>
          <w:rFonts w:hint="eastAsia" w:ascii="仿宋_GB2312" w:hAnsi="仿宋_GB2312" w:eastAsia="仿宋_GB2312" w:cs="仿宋_GB2312"/>
          <w:lang w:val="en-US" w:eastAsia="zh-Hans"/>
        </w:rPr>
        <w:t>感知设备能接尽接</w:t>
      </w:r>
      <w:r>
        <w:rPr>
          <w:rFonts w:hint="eastAsia" w:ascii="仿宋_GB2312" w:hAnsi="仿宋_GB2312" w:eastAsia="仿宋_GB2312" w:cs="仿宋_GB2312"/>
          <w:lang w:val="en-US" w:eastAsia="zh-CN"/>
        </w:rPr>
        <w:t>，依照现行生效的自动监控异常数据预警规范实现各类预警提醒，同时积极将投诉举报、转办交办、应急处置、舆情发酵以及应企业申请等事项纳入个案执法检查任务。围绕下发的问题线索，积极响应、加强收集、做实分析，有针对性的实施现场检查。积极督促提醒企业主动防范异常事件，执法人员应及时完成个案执法检查任务办理与反馈。依托深圳市智慧环保平台在线监测系统、移动执法系统等信息化系统完成预警任务的分拨管理和响应督办，检查提醒的反馈率应达到100%。</w:t>
      </w:r>
      <w:r>
        <w:rPr>
          <w:rFonts w:hint="eastAsia" w:ascii="楷体" w:hAnsi="楷体" w:eastAsia="楷体" w:cs="楷体"/>
          <w:lang w:val="en-US" w:eastAsia="zh-CN"/>
        </w:rPr>
        <w:t>（责任单位：执法监督科、信息办、各所）</w:t>
      </w:r>
    </w:p>
    <w:p w14:paraId="333E21A4">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（三）专项执法检查计划</w:t>
      </w:r>
    </w:p>
    <w:p w14:paraId="170F9D8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按照上级部署安排及工作需要，针对某一地区、领域的突出问题，履行批准、备案、公布程序，部署安排本地区或者本系统行政执法主体实施的专项执法检查，严格控制专项检查。</w:t>
      </w:r>
      <w:r>
        <w:rPr>
          <w:rFonts w:hint="eastAsia" w:ascii="楷体" w:hAnsi="楷体" w:eastAsia="楷体" w:cs="楷体"/>
          <w:lang w:val="en-US" w:eastAsia="zh-CN"/>
        </w:rPr>
        <w:t>（责任单位：执法监督科、各所）</w:t>
      </w:r>
    </w:p>
    <w:p w14:paraId="2E9EB065">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（四）重点领域执法检查计划</w:t>
      </w:r>
    </w:p>
    <w:p w14:paraId="1CBF2729">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强化重点领域执法，聚焦VOC排放、工地扬尘、移动源、自然保护地、饮用水源保护区、噪声扰民、危险废物处置、自动监控弄虚作假</w:t>
      </w:r>
      <w:r>
        <w:rPr>
          <w:rFonts w:hint="eastAsia" w:ascii="仿宋_GB2312" w:hAnsi="仿宋_GB2312" w:cs="仿宋_GB2312"/>
          <w:lang w:val="en-US" w:eastAsia="zh-CN"/>
        </w:rPr>
        <w:t>、排污许可清单式执法</w:t>
      </w:r>
      <w:r>
        <w:rPr>
          <w:rFonts w:hint="eastAsia" w:ascii="仿宋_GB2312" w:hAnsi="仿宋_GB2312" w:eastAsia="仿宋_GB2312" w:cs="仿宋_GB2312"/>
          <w:lang w:val="en-US" w:eastAsia="zh-CN"/>
        </w:rPr>
        <w:t>等重点领域，组织开展相关执法检查。</w:t>
      </w:r>
    </w:p>
    <w:p w14:paraId="1E350E70">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1.VOCs综合整治</w:t>
      </w:r>
    </w:p>
    <w:p w14:paraId="4B4A8D6B">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一是</w:t>
      </w:r>
      <w:r>
        <w:rPr>
          <w:rFonts w:hint="eastAsia" w:ascii="仿宋_GB2312" w:hAnsi="仿宋_GB2312" w:eastAsia="仿宋_GB2312" w:cs="仿宋_GB2312"/>
          <w:lang w:val="en-US" w:eastAsia="zh-CN"/>
        </w:rPr>
        <w:t>加强VOCs信息化平台值守，及时核实和反馈废气在线异常，落实全流程线上反馈留痕闭环管理，严打数据造假，实现异常处理与反馈率双100%。</w:t>
      </w:r>
      <w:r>
        <w:rPr>
          <w:rFonts w:hint="eastAsia" w:ascii="仿宋_GB2312" w:hAnsi="仿宋_GB2312" w:eastAsia="仿宋_GB2312" w:cs="仿宋_GB2312"/>
          <w:b/>
          <w:bCs/>
          <w:lang w:val="en-US" w:eastAsia="zh-CN"/>
        </w:rPr>
        <w:t>二是</w:t>
      </w:r>
      <w:r>
        <w:rPr>
          <w:rFonts w:hint="eastAsia" w:ascii="仿宋_GB2312" w:hAnsi="仿宋_GB2312" w:cs="仿宋_GB2312"/>
          <w:lang w:val="en-US" w:eastAsia="zh-CN"/>
        </w:rPr>
        <w:t>深化</w:t>
      </w:r>
      <w:r>
        <w:rPr>
          <w:rFonts w:hint="eastAsia" w:ascii="仿宋_GB2312" w:hAnsi="仿宋_GB2312" w:eastAsia="仿宋_GB2312" w:cs="仿宋_GB2312"/>
          <w:lang w:val="en-US" w:eastAsia="zh-CN"/>
        </w:rPr>
        <w:t>涉VOCs企业执法，定期开展涉VOCs企业执法检查，具体任务清单及要求以</w:t>
      </w:r>
      <w:r>
        <w:rPr>
          <w:rFonts w:hint="eastAsia" w:ascii="仿宋_GB2312" w:hAnsi="仿宋_GB2312" w:cs="仿宋_GB2312"/>
          <w:lang w:val="en-US" w:eastAsia="zh-CN"/>
        </w:rPr>
        <w:t>后续</w:t>
      </w:r>
      <w:r>
        <w:rPr>
          <w:rFonts w:hint="eastAsia" w:ascii="仿宋_GB2312" w:hAnsi="仿宋_GB2312" w:eastAsia="仿宋_GB2312" w:cs="仿宋_GB2312"/>
          <w:lang w:val="en-US" w:eastAsia="zh-CN"/>
        </w:rPr>
        <w:t>上级部门发布为准。</w:t>
      </w:r>
      <w:r>
        <w:rPr>
          <w:rFonts w:hint="eastAsia" w:ascii="仿宋_GB2312" w:hAnsi="仿宋_GB2312" w:eastAsia="仿宋_GB2312" w:cs="仿宋_GB2312"/>
          <w:b/>
          <w:bCs/>
          <w:lang w:val="en-US" w:eastAsia="zh-CN"/>
        </w:rPr>
        <w:t>三是</w:t>
      </w:r>
      <w:r>
        <w:rPr>
          <w:rFonts w:hint="eastAsia" w:ascii="仿宋_GB2312" w:hAnsi="仿宋_GB2312" w:eastAsia="仿宋_GB2312" w:cs="仿宋_GB2312"/>
          <w:lang w:val="en-US" w:eastAsia="zh-CN"/>
        </w:rPr>
        <w:t>加强活性炭执法管理，督促即将超期企业按时换炭，对3次及以上纳入“码上换炭”异常企业清单的企业开展执法检查，对未及时更换活性炭造成活性炭设施不正常运行或超标排放的企业依法处罚。</w:t>
      </w:r>
      <w:r>
        <w:rPr>
          <w:rFonts w:hint="eastAsia" w:ascii="楷体" w:hAnsi="楷体" w:eastAsia="楷体" w:cs="楷体"/>
          <w:lang w:val="en-US" w:eastAsia="zh-CN"/>
        </w:rPr>
        <w:t>（责任单位：执法监督科、环境管理科、各所）</w:t>
      </w:r>
    </w:p>
    <w:p w14:paraId="6AC700AA">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2.建筑工地扬尘执法检查</w:t>
      </w:r>
    </w:p>
    <w:p w14:paraId="01906CF5">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根据市生态环境局</w:t>
      </w:r>
      <w:r>
        <w:rPr>
          <w:rFonts w:hint="eastAsia" w:ascii="仿宋_GB2312" w:hAnsi="仿宋_GB2312" w:cs="仿宋_GB2312"/>
          <w:lang w:val="en-US" w:eastAsia="zh-CN"/>
        </w:rPr>
        <w:t>相关</w:t>
      </w:r>
      <w:r>
        <w:rPr>
          <w:rFonts w:hint="eastAsia" w:ascii="仿宋_GB2312" w:hAnsi="仿宋_GB2312" w:eastAsia="仿宋_GB2312" w:cs="仿宋_GB2312"/>
          <w:lang w:val="en-US" w:eastAsia="zh-CN"/>
        </w:rPr>
        <w:t>工作部署，定期组织与住建、交通、水务等部门开展建筑工地联合执法行动，采用“人工巡查＋在线监控＋无人机巡查”相结合的模式，进一步强化对工地扬尘污染的常态化监管，严厉查处工地建设单位未将扬尘污染防治内容纳入工程监理合同</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监理单位未做好扬尘污染防治监理工作等违法行为。</w:t>
      </w:r>
      <w:r>
        <w:rPr>
          <w:rFonts w:hint="eastAsia" w:ascii="楷体" w:hAnsi="楷体" w:eastAsia="楷体" w:cs="楷体"/>
          <w:lang w:val="en-US" w:eastAsia="zh-CN"/>
        </w:rPr>
        <w:t>（责任单位：执法监督科、环境管理科、各所）</w:t>
      </w:r>
    </w:p>
    <w:p w14:paraId="123082C6">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仿宋_GB2312" w:hAnsi="仿宋_GB2312" w:cs="仿宋_GB2312"/>
          <w:b/>
          <w:bCs/>
          <w:lang w:val="en-US" w:eastAsia="zh-CN"/>
        </w:rPr>
      </w:pPr>
      <w:r>
        <w:rPr>
          <w:rFonts w:hint="eastAsia" w:ascii="仿宋_GB2312" w:hAnsi="仿宋_GB2312" w:cs="仿宋_GB2312"/>
          <w:b/>
          <w:bCs/>
          <w:lang w:val="en-US" w:eastAsia="zh-CN"/>
        </w:rPr>
        <w:t>3</w:t>
      </w:r>
      <w:r>
        <w:rPr>
          <w:rFonts w:hint="eastAsia" w:ascii="仿宋_GB2312" w:hAnsi="仿宋_GB2312" w:eastAsia="仿宋_GB2312" w:cs="仿宋_GB2312"/>
          <w:b/>
          <w:bCs/>
          <w:lang w:val="en-US" w:eastAsia="zh-CN"/>
        </w:rPr>
        <w:t>.</w:t>
      </w:r>
      <w:r>
        <w:rPr>
          <w:rFonts w:hint="eastAsia" w:ascii="仿宋_GB2312" w:hAnsi="仿宋_GB2312" w:cs="仿宋_GB2312"/>
          <w:b/>
          <w:bCs/>
          <w:lang w:val="en-US" w:eastAsia="zh-CN"/>
        </w:rPr>
        <w:t>机动车及非道路移动机械排气污染监督检查</w:t>
      </w:r>
    </w:p>
    <w:p w14:paraId="5AFF08B7">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b w:val="0"/>
          <w:bCs w:val="0"/>
          <w:lang w:val="en-US" w:eastAsia="zh-CN"/>
        </w:rPr>
      </w:pPr>
      <w:r>
        <w:rPr>
          <w:rFonts w:hint="eastAsia" w:ascii="仿宋_GB2312" w:hAnsi="仿宋_GB2312" w:cs="仿宋_GB2312"/>
          <w:b/>
          <w:bCs/>
          <w:lang w:val="en-US" w:eastAsia="zh-CN"/>
        </w:rPr>
        <w:t>一是</w:t>
      </w:r>
      <w:r>
        <w:rPr>
          <w:rFonts w:hint="eastAsia" w:ascii="仿宋_GB2312" w:hAnsi="仿宋_GB2312" w:cs="仿宋_GB2312"/>
          <w:b w:val="0"/>
          <w:bCs w:val="0"/>
          <w:lang w:val="en-US" w:eastAsia="zh-CN"/>
        </w:rPr>
        <w:t>根据非现场执法黑烟车遥感监测情况及移动源排放监管系统运行周报，在柴油车流量较大和黑烟车较多的路段，按照“交警拦车、环保检测”的模式，联合交警部门对柴油车、异地车等定期开展路检路查。</w:t>
      </w:r>
      <w:r>
        <w:rPr>
          <w:rFonts w:hint="eastAsia" w:ascii="仿宋_GB2312" w:hAnsi="仿宋_GB2312" w:cs="仿宋_GB2312"/>
          <w:b/>
          <w:bCs/>
          <w:lang w:val="en-US" w:eastAsia="zh-CN"/>
        </w:rPr>
        <w:t>二是</w:t>
      </w:r>
      <w:r>
        <w:rPr>
          <w:rFonts w:hint="eastAsia" w:ascii="仿宋_GB2312" w:hAnsi="仿宋_GB2312" w:cs="仿宋_GB2312"/>
          <w:b w:val="0"/>
          <w:bCs w:val="0"/>
          <w:lang w:val="en-US" w:eastAsia="zh-CN"/>
        </w:rPr>
        <w:t>落实全区工程机械环保编码登记三级联网，定期组织开展对非道路移动机械监督性检测，对于未编码登记的机械应登尽登，同时，推进国二及以上排放标准的非道路移动机械安装定位监控和远程排放监测，实现对柴油货车、非道路移动机械等高排放源的精准监管。</w:t>
      </w:r>
      <w:r>
        <w:rPr>
          <w:rFonts w:hint="eastAsia" w:ascii="仿宋_GB2312" w:hAnsi="仿宋_GB2312" w:cs="仿宋_GB2312"/>
          <w:b/>
          <w:bCs/>
          <w:lang w:val="en-US" w:eastAsia="zh-CN"/>
        </w:rPr>
        <w:t>三是</w:t>
      </w:r>
      <w:r>
        <w:rPr>
          <w:rFonts w:hint="eastAsia" w:ascii="仿宋_GB2312" w:hAnsi="仿宋_GB2312" w:cs="仿宋_GB2312"/>
          <w:b w:val="0"/>
          <w:bCs w:val="0"/>
          <w:lang w:val="en-US" w:eastAsia="zh-CN"/>
        </w:rPr>
        <w:t>健全“监测-处罚-维修-复检”的执法闭环，对移动源排放监管系统运行周报中的定期内检测合格但遥测超标车辆，溯源检验机构，通过查看检测过程数据和监控视频，检查是否存在检测人员操作异常或不规范、车辆明显排放黑烟等情况，严厉打击超标排放与OBD篡改等恶意违法行为。</w:t>
      </w:r>
      <w:r>
        <w:rPr>
          <w:rFonts w:hint="eastAsia" w:ascii="楷体" w:hAnsi="楷体" w:eastAsia="楷体" w:cs="楷体"/>
          <w:lang w:val="en-US" w:eastAsia="zh-CN"/>
        </w:rPr>
        <w:t>(责任单位:执法监督科、环境管理科、各所)</w:t>
      </w:r>
    </w:p>
    <w:p w14:paraId="4620340F">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4.</w:t>
      </w:r>
      <w:r>
        <w:rPr>
          <w:rFonts w:hint="eastAsia" w:ascii="仿宋_GB2312" w:hAnsi="仿宋_GB2312" w:eastAsia="仿宋_GB2312" w:cs="仿宋_GB2312"/>
          <w:b/>
          <w:bCs/>
          <w:lang w:val="en-US" w:eastAsia="zh-CN"/>
        </w:rPr>
        <w:t>自然保护地执法检查</w:t>
      </w:r>
    </w:p>
    <w:p w14:paraId="4C0B89C1">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加强自然保护地执法监管,充分融合现场巡查、视频监控与无人机航拍等“人防+技防”措施，定期组织开展自然保护地执法检查，系统排查生态破坏行为，对存在问题建立清单台账，重点核查保护地内违法排放污染物、违规设置废物填埋场、非法开矿、修路、筑坝、建设等破坏生态环境行为，以及建设项目落实“三同时”制度情况。对涉及其他部门职责的问题线索或违法行为，及时移送处理。</w:t>
      </w:r>
      <w:r>
        <w:rPr>
          <w:rFonts w:hint="eastAsia" w:ascii="楷体" w:hAnsi="楷体" w:eastAsia="楷体" w:cs="楷体"/>
          <w:lang w:val="en-US" w:eastAsia="zh-CN"/>
        </w:rPr>
        <w:t>（责任单位：执法监督科、环境管理科、各所）</w:t>
      </w:r>
    </w:p>
    <w:p w14:paraId="08B76830">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5</w:t>
      </w:r>
      <w:r>
        <w:rPr>
          <w:rFonts w:hint="eastAsia" w:ascii="仿宋_GB2312" w:hAnsi="仿宋_GB2312" w:eastAsia="仿宋_GB2312" w:cs="仿宋_GB2312"/>
          <w:b/>
          <w:bCs/>
          <w:lang w:val="en-US" w:eastAsia="zh-CN"/>
        </w:rPr>
        <w:t>.饮用水源保护区执法检查</w:t>
      </w:r>
    </w:p>
    <w:p w14:paraId="2CF77C6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深化饮用水水源保护区环境治理，重点参照市级移交突出问题及相关典型案例，定期组织开展饮用水源保护区执法检查，全面排查保护区内是否存在向水源设置排污口、违法建设项目、废品回收站、施工工地污染污水直排，以及排放、倾倒、堆放或处置油类、酸碱、剧毒物品、放射性固体废物、工业废渣、生活垃圾、医疗废物等各类废弃物的环境违法行为，依法处罚违法行为，对发现的问题建立台账并实行清单化管理。</w:t>
      </w:r>
      <w:r>
        <w:rPr>
          <w:rFonts w:hint="eastAsia" w:ascii="楷体" w:hAnsi="楷体" w:eastAsia="楷体" w:cs="楷体"/>
          <w:lang w:val="en-US" w:eastAsia="zh-CN"/>
        </w:rPr>
        <w:t>（责任单位：执法监督科、环境管理科、各所）</w:t>
      </w:r>
    </w:p>
    <w:p w14:paraId="2C2C377D">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6</w:t>
      </w:r>
      <w:r>
        <w:rPr>
          <w:rFonts w:hint="eastAsia" w:ascii="仿宋_GB2312" w:hAnsi="仿宋_GB2312" w:eastAsia="仿宋_GB2312" w:cs="仿宋_GB2312"/>
          <w:b/>
          <w:bCs/>
          <w:lang w:val="en-US" w:eastAsia="zh-CN"/>
        </w:rPr>
        <w:t>.建筑施工噪声执法检查</w:t>
      </w:r>
    </w:p>
    <w:p w14:paraId="19E70A99">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一是</w:t>
      </w:r>
      <w:r>
        <w:rPr>
          <w:rFonts w:hint="eastAsia" w:ascii="仿宋_GB2312" w:hAnsi="仿宋_GB2312" w:eastAsia="仿宋_GB2312" w:cs="仿宋_GB2312"/>
          <w:lang w:val="en-US" w:eastAsia="zh-CN"/>
        </w:rPr>
        <w:t>根据市</w:t>
      </w:r>
      <w:r>
        <w:rPr>
          <w:rFonts w:hint="eastAsia" w:ascii="仿宋_GB2312" w:hAnsi="仿宋_GB2312" w:cs="仿宋_GB2312"/>
          <w:lang w:val="en-US" w:eastAsia="zh-CN"/>
        </w:rPr>
        <w:t>生态环境</w:t>
      </w:r>
      <w:r>
        <w:rPr>
          <w:rFonts w:hint="eastAsia" w:ascii="仿宋_GB2312" w:hAnsi="仿宋_GB2312" w:eastAsia="仿宋_GB2312" w:cs="仿宋_GB2312"/>
          <w:lang w:val="en-US" w:eastAsia="zh-CN"/>
        </w:rPr>
        <w:t>局《关于推动落实〈建筑施工噪声自动监测技术规范〉</w:t>
      </w:r>
      <w:r>
        <w:rPr>
          <w:rFonts w:hint="eastAsia" w:ascii="仿宋_GB2312" w:hAnsi="仿宋_GB2312" w:cs="仿宋_GB2312"/>
          <w:lang w:val="en-US" w:eastAsia="zh-CN"/>
        </w:rPr>
        <w:t>的通知</w:t>
      </w:r>
      <w:r>
        <w:rPr>
          <w:rFonts w:hint="eastAsia" w:ascii="仿宋_GB2312" w:hAnsi="仿宋_GB2312" w:eastAsia="仿宋_GB2312" w:cs="仿宋_GB2312"/>
          <w:lang w:val="en-US" w:eastAsia="zh-CN"/>
        </w:rPr>
        <w:t>》相关要求，结合日常巡查与投诉快速响应机制，定期组织开展建筑施工噪声执法检查，重点核查施工工地噪声污染防治措施落实情况，检查要素包括是否取得夜间施工许可、是否设置噪声污染防治设施或采取降噪措施、是否在禁止时段进行高噪声作业等。</w:t>
      </w:r>
      <w:r>
        <w:rPr>
          <w:rFonts w:hint="eastAsia" w:ascii="仿宋_GB2312" w:hAnsi="仿宋_GB2312" w:eastAsia="仿宋_GB2312" w:cs="仿宋_GB2312"/>
          <w:b/>
          <w:bCs/>
          <w:lang w:val="en-US" w:eastAsia="zh-CN"/>
        </w:rPr>
        <w:t>二是</w:t>
      </w:r>
      <w:r>
        <w:rPr>
          <w:rFonts w:hint="eastAsia" w:ascii="仿宋_GB2312" w:hAnsi="仿宋_GB2312" w:eastAsia="仿宋_GB2312" w:cs="仿宋_GB2312"/>
          <w:lang w:val="en-US" w:eastAsia="zh-CN"/>
        </w:rPr>
        <w:t>针对群众反映强烈、重复投诉的施工项目，进一步加大抽查频次，依法查处未按规定控制作业时间、使用高噪声设备等扰民行为。对检查中发现的问题，责令责任方立即整改并依法严肃处理；若涉及其他部门监管职责，及时移交相关部门协同处置。</w:t>
      </w:r>
      <w:r>
        <w:rPr>
          <w:rFonts w:hint="eastAsia" w:ascii="楷体" w:hAnsi="楷体" w:eastAsia="楷体" w:cs="楷体"/>
          <w:lang w:val="en-US" w:eastAsia="zh-CN"/>
        </w:rPr>
        <w:t>（责任单位：执法监督科、各所）</w:t>
      </w:r>
    </w:p>
    <w:p w14:paraId="25FE57DE">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7</w:t>
      </w:r>
      <w:r>
        <w:rPr>
          <w:rFonts w:hint="eastAsia" w:ascii="仿宋_GB2312" w:hAnsi="仿宋_GB2312" w:eastAsia="仿宋_GB2312" w:cs="仿宋_GB2312"/>
          <w:b/>
          <w:bCs/>
          <w:lang w:val="en-US" w:eastAsia="zh-CN"/>
        </w:rPr>
        <w:t>.危险废物环境执法检查</w:t>
      </w:r>
    </w:p>
    <w:p w14:paraId="009E436F">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持续强化危险废物环境监管，定期组织开展危险废物执法检查，重点排查产废单位是否按要求收集、贮存、转移、处置危险废物，危险废物识别标志设置是否规范，危险废物贮存设施建设是否符合标准，严厉打击危险废物非法转移、违规处置等环境违法行为。</w:t>
      </w:r>
      <w:r>
        <w:rPr>
          <w:rFonts w:hint="eastAsia" w:ascii="楷体" w:hAnsi="楷体" w:eastAsia="楷体" w:cs="楷体"/>
          <w:lang w:val="en-US" w:eastAsia="zh-CN"/>
        </w:rPr>
        <w:t>（责任单位：执法监督科、各所）</w:t>
      </w:r>
    </w:p>
    <w:p w14:paraId="124F3BB3">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8</w:t>
      </w:r>
      <w:r>
        <w:rPr>
          <w:rFonts w:hint="eastAsia" w:ascii="仿宋_GB2312" w:hAnsi="仿宋_GB2312" w:eastAsia="仿宋_GB2312" w:cs="仿宋_GB2312"/>
          <w:b/>
          <w:bCs/>
          <w:lang w:val="en-US" w:eastAsia="zh-CN"/>
        </w:rPr>
        <w:t>.打击企业弄虚作假执法检查</w:t>
      </w:r>
    </w:p>
    <w:p w14:paraId="635E2FC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lang w:val="en-US" w:eastAsia="zh-CN"/>
        </w:rPr>
      </w:pPr>
      <w:r>
        <w:rPr>
          <w:rFonts w:hint="eastAsia" w:ascii="仿宋_GB2312" w:hAnsi="仿宋_GB2312" w:eastAsia="仿宋_GB2312" w:cs="仿宋_GB2312"/>
          <w:lang w:val="en-US" w:eastAsia="zh-CN"/>
        </w:rPr>
        <w:t>持续开展打击企业弄虚作假工作，深入推进企业在线核查，根据上级部门派发的问题线索，加大查处力度，对污染源在线监管企业、污染源自动监控系统运维单位及第三方检测机构弄虚作假行为，保持“零容忍”态度，依法严惩，形成长效震慑。</w:t>
      </w:r>
      <w:r>
        <w:rPr>
          <w:rFonts w:hint="eastAsia" w:ascii="楷体" w:hAnsi="楷体" w:eastAsia="楷体" w:cs="楷体"/>
          <w:lang w:val="en-US" w:eastAsia="zh-CN"/>
        </w:rPr>
        <w:t>（责任单位：执法监督科、各所）</w:t>
      </w:r>
    </w:p>
    <w:p w14:paraId="169AEBC3">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仿宋_GB2312" w:hAnsi="仿宋_GB2312" w:eastAsia="仿宋_GB2312" w:cs="仿宋_GB2312"/>
          <w:b/>
          <w:bCs/>
          <w:lang w:val="en-US" w:eastAsia="zh-CN"/>
        </w:rPr>
      </w:pPr>
      <w:r>
        <w:rPr>
          <w:rFonts w:hint="eastAsia" w:ascii="仿宋_GB2312" w:hAnsi="仿宋_GB2312" w:cs="仿宋_GB2312"/>
          <w:b/>
          <w:bCs/>
          <w:lang w:val="en-US" w:eastAsia="zh-CN"/>
        </w:rPr>
        <w:t>9</w:t>
      </w:r>
      <w:r>
        <w:rPr>
          <w:rFonts w:hint="eastAsia" w:ascii="仿宋_GB2312" w:hAnsi="仿宋_GB2312" w:eastAsia="仿宋_GB2312" w:cs="仿宋_GB2312"/>
          <w:b/>
          <w:bCs/>
          <w:lang w:val="en-US" w:eastAsia="zh-CN"/>
        </w:rPr>
        <w:t>.排污许可清单式执法检查</w:t>
      </w:r>
    </w:p>
    <w:p w14:paraId="6A750506">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贯彻落实《全面实行排污许可制实施方案》，根据省生态环境厅排污许可清单式执法检查要求，</w:t>
      </w:r>
      <w:r>
        <w:rPr>
          <w:rFonts w:hint="eastAsia" w:ascii="仿宋_GB2312" w:hAnsi="仿宋_GB2312" w:cs="仿宋_GB2312"/>
          <w:lang w:val="en-US" w:eastAsia="zh-CN"/>
        </w:rPr>
        <w:t>定期</w:t>
      </w:r>
      <w:r>
        <w:rPr>
          <w:rFonts w:hint="eastAsia" w:ascii="仿宋_GB2312" w:hAnsi="仿宋_GB2312" w:eastAsia="仿宋_GB2312" w:cs="仿宋_GB2312"/>
          <w:lang w:val="en-US" w:eastAsia="zh-CN"/>
        </w:rPr>
        <w:t>组织开展排污许可清单式执法检查，将省生态环境厅明确的重点行业企业作为主要检查对象，依托全国排污许可证管理信息平台实施非现场核查与现场检查“全覆盖”，重点检查排放口规范化建设、污染物排放浓度和排放量、污染防治设施运行和维护、无组织排放控制等要求的落实情况，依法查处无证排污、未按证排污等违法行为。</w:t>
      </w:r>
      <w:r>
        <w:rPr>
          <w:rFonts w:hint="eastAsia" w:ascii="楷体" w:hAnsi="楷体" w:eastAsia="楷体" w:cs="楷体"/>
          <w:lang w:val="en-US" w:eastAsia="zh-CN"/>
        </w:rPr>
        <w:t>（责任单位：执法监督科、各所、宝安分站）</w:t>
      </w:r>
    </w:p>
    <w:p w14:paraId="0B9D7C95">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四、工作要求</w:t>
      </w:r>
    </w:p>
    <w:p w14:paraId="5793DB6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（一）严格规范执法。</w:t>
      </w:r>
      <w:r>
        <w:rPr>
          <w:rFonts w:hint="eastAsia" w:ascii="仿宋_GB2312" w:hAnsi="仿宋_GB2312" w:eastAsia="仿宋_GB2312" w:cs="仿宋_GB2312"/>
          <w:lang w:val="en-US" w:eastAsia="zh-CN"/>
        </w:rPr>
        <w:t>按照《国务院办公厅关于严格规范涉企行政检查的意见》及相关文件要求，严格规范涉企行政检查。全面落实行政执法公示、执法全过程记录、重大执法决定法制审核“三项制度”，规范行政执法文书制作，主动公开执法信息，全程留痕执法过程</w:t>
      </w:r>
      <w:r>
        <w:rPr>
          <w:rFonts w:hint="eastAsia" w:ascii="仿宋_GB2312" w:hAnsi="仿宋_GB2312" w:eastAsia="仿宋_GB2312" w:cs="仿宋_GB2312"/>
          <w:lang w:val="en" w:eastAsia="zh-CN"/>
        </w:rPr>
        <w:t>，</w:t>
      </w:r>
      <w:r>
        <w:rPr>
          <w:rFonts w:hint="eastAsia" w:ascii="仿宋_GB2312" w:hAnsi="仿宋_GB2312" w:eastAsia="仿宋_GB2312" w:cs="仿宋_GB2312"/>
          <w:lang w:val="en-US" w:eastAsia="zh-CN"/>
        </w:rPr>
        <w:t>以规范执法提升生态环境执法的公信力和权威性</w:t>
      </w:r>
      <w:r>
        <w:rPr>
          <w:rFonts w:hint="eastAsia" w:ascii="仿宋_GB2312" w:hAnsi="仿宋_GB2312" w:eastAsia="仿宋_GB2312" w:cs="仿宋_GB2312"/>
          <w:lang w:val="en" w:eastAsia="zh-CN"/>
        </w:rPr>
        <w:t>。推广应用执法监督码系统，落实</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 w:eastAsia="zh-CN"/>
        </w:rPr>
        <w:t>扫码入企</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 w:eastAsia="zh-CN"/>
        </w:rPr>
        <w:t>工作要求</w:t>
      </w:r>
      <w:r>
        <w:rPr>
          <w:rFonts w:hint="eastAsia" w:ascii="仿宋_GB2312" w:hAnsi="仿宋_GB2312" w:eastAsia="仿宋_GB2312" w:cs="仿宋_GB2312"/>
          <w:lang w:val="en-US" w:eastAsia="zh-CN"/>
        </w:rPr>
        <w:t>。</w:t>
      </w:r>
    </w:p>
    <w:p w14:paraId="342E25BA">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（二）领导参与执法。</w:t>
      </w:r>
      <w:r>
        <w:rPr>
          <w:rFonts w:hint="eastAsia" w:ascii="仿宋_GB2312" w:hAnsi="仿宋_GB2312" w:eastAsia="仿宋_GB2312" w:cs="仿宋_GB2312"/>
          <w:highlight w:val="none"/>
          <w:lang w:val="en-US" w:eastAsia="zh-CN"/>
        </w:rPr>
        <w:t>坚持引领示范，分管执法领域的局领导、各执法部门主要负责人要带头深入一线，直接参与案件查办，以“头雁效应”激发“群雁活力”，以高质量执法推动生态环境保护事业持续健康发展。</w:t>
      </w:r>
    </w:p>
    <w:p w14:paraId="418DAE3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highlight w:val="none"/>
          <w:lang w:val="en-US" w:eastAsia="zh-CN"/>
        </w:rPr>
        <w:t>（三）优化执法方式。</w:t>
      </w:r>
      <w:r>
        <w:rPr>
          <w:rFonts w:hint="eastAsia" w:ascii="仿宋_GB2312" w:hAnsi="仿宋_GB2312" w:eastAsia="仿宋_GB2312" w:cs="仿宋_GB2312"/>
          <w:highlight w:val="none"/>
          <w:lang w:val="en-US" w:eastAsia="zh-CN"/>
        </w:rPr>
        <w:t>加大非现场执法力度，</w:t>
      </w:r>
      <w:r>
        <w:rPr>
          <w:rFonts w:hint="eastAsia" w:ascii="仿宋_GB2312" w:hAnsi="仿宋_GB2312" w:eastAsia="仿宋_GB2312" w:cs="仿宋_GB2312"/>
          <w:highlight w:val="none"/>
          <w:lang w:val="zh-CN" w:eastAsia="zh-CN"/>
        </w:rPr>
        <w:t>大力推广远程喊停、智慧监控、无人机巡航等非现场手段运用</w:t>
      </w:r>
      <w:r>
        <w:rPr>
          <w:rFonts w:hint="eastAsia" w:ascii="仿宋_GB2312" w:hAnsi="仿宋_GB2312" w:eastAsia="仿宋_GB2312" w:cs="仿宋_GB2312"/>
          <w:highlight w:val="none"/>
          <w:lang w:val="en" w:eastAsia="zh-CN"/>
        </w:rPr>
        <w:t>，充分</w:t>
      </w:r>
      <w:r>
        <w:rPr>
          <w:rFonts w:hint="eastAsia" w:ascii="仿宋_GB2312" w:hAnsi="仿宋_GB2312" w:eastAsia="仿宋_GB2312" w:cs="仿宋_GB2312"/>
          <w:highlight w:val="none"/>
          <w:lang w:val="en-US" w:eastAsia="zh-CN"/>
        </w:rPr>
        <w:t>运用大数据、物联网、人工智能等新型技术，能通过资料核查、线上核实、数据分析等非现场方式实现有效监管的事项，不再开展现场检查，全面提升行政执法效能，减少对企业正常生产经营活动的干扰。大力推进精准检查，结合“综合查一次”相关要求，能合并实施行政检查的，不得重复检查；能联合实施行政检查的，不得多头检查</w:t>
      </w:r>
      <w:r>
        <w:rPr>
          <w:rFonts w:hint="eastAsia" w:ascii="仿宋_GB2312" w:hAnsi="仿宋_GB2312" w:eastAsia="仿宋_GB2312" w:cs="仿宋_GB2312"/>
          <w:highlight w:val="none"/>
          <w:lang w:val="en" w:eastAsia="zh-CN"/>
        </w:rPr>
        <w:t>，</w:t>
      </w:r>
      <w:r>
        <w:rPr>
          <w:rFonts w:hint="eastAsia" w:ascii="仿宋_GB2312" w:hAnsi="仿宋_GB2312" w:eastAsia="仿宋_GB2312" w:cs="仿宋_GB2312"/>
          <w:highlight w:val="none"/>
          <w:lang w:val="en-US" w:eastAsia="zh-CN"/>
        </w:rPr>
        <w:t>做到行政检查“应合尽合”“应联尽联”。</w:t>
      </w:r>
    </w:p>
    <w:p w14:paraId="1576640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highlight w:val="none"/>
          <w:lang w:val="en-US" w:eastAsia="zh-CN"/>
        </w:rPr>
        <w:t>（四）包容审慎监管。</w:t>
      </w:r>
      <w:r>
        <w:rPr>
          <w:rFonts w:hint="eastAsia" w:ascii="仿宋_GB2312" w:hAnsi="仿宋_GB2312" w:eastAsia="仿宋_GB2312" w:cs="仿宋_GB2312"/>
          <w:highlight w:val="none"/>
          <w:lang w:val="en-US" w:eastAsia="zh-CN"/>
        </w:rPr>
        <w:t>推行包容审慎监管方式，坚持过罚相当原则，全面落实柔性执法“四张清单”（轻微生态环境违法行为不予行政处罚清单、从轻处罚清单、减轻处罚清单和免予行政强制清单），加大推进执法监管正面清单制度，健全公开道歉承诺从轻处罚制度，持续深化自由裁量、信用承诺、行政执法“观察期”、轻微违法行为告知承诺等制度，体现监管温度与执法效能并重，持续激发市场活力，助力优化营商环境。</w:t>
      </w:r>
    </w:p>
    <w:p w14:paraId="39496551">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highlight w:val="none"/>
          <w:lang w:val="en-US" w:eastAsia="zh-CN"/>
        </w:rPr>
        <w:t>（五）强化执法监督。</w:t>
      </w:r>
      <w:r>
        <w:rPr>
          <w:rFonts w:hint="eastAsia" w:ascii="仿宋_GB2312" w:hAnsi="仿宋_GB2312" w:eastAsia="仿宋_GB2312" w:cs="仿宋_GB2312"/>
          <w:highlight w:val="none"/>
          <w:lang w:val="en-US" w:eastAsia="zh-CN"/>
        </w:rPr>
        <w:t>按照《行政执法监督条例》及相关规定，综合运用日常监督、重点监督、案卷评查等多种方式，加强和规范行政执法监督工作。完善市、区两级执法监督联动机制，加强信息共享与协同配合，形成监督合力，切实提升全</w:t>
      </w:r>
      <w:r>
        <w:rPr>
          <w:rFonts w:hint="eastAsia" w:ascii="仿宋_GB2312" w:hAnsi="仿宋_GB2312" w:cs="仿宋_GB2312"/>
          <w:highlight w:val="none"/>
          <w:lang w:val="en-US" w:eastAsia="zh-CN"/>
        </w:rPr>
        <w:t>区</w:t>
      </w:r>
      <w:r>
        <w:rPr>
          <w:rFonts w:hint="eastAsia" w:ascii="仿宋_GB2312" w:hAnsi="仿宋_GB2312" w:eastAsia="仿宋_GB2312" w:cs="仿宋_GB2312"/>
          <w:highlight w:val="none"/>
          <w:lang w:val="en-US" w:eastAsia="zh-CN"/>
        </w:rPr>
        <w:t>生态环境执法质效。</w:t>
      </w:r>
    </w:p>
    <w:p w14:paraId="438E1C80">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highlight w:val="none"/>
          <w:lang w:val="en-US" w:eastAsia="zh-CN"/>
        </w:rPr>
        <w:t>（六）提升执法能力。</w:t>
      </w:r>
      <w:r>
        <w:rPr>
          <w:rFonts w:hint="eastAsia" w:ascii="仿宋_GB2312" w:hAnsi="仿宋_GB2312" w:eastAsia="仿宋_GB2312" w:cs="仿宋_GB2312"/>
          <w:highlight w:val="none"/>
          <w:lang w:val="en-US" w:eastAsia="zh-CN"/>
        </w:rPr>
        <w:t>紧扣“全年、全员、全过程”练兵总基调，以执法大练兵活动为抓手，着力加强生态环境保护综合行政执法队伍建设。聚焦实战实效，常态化组织开展知识竞赛、现场执法、非现场监管、无人机应用等多元化技能培训与实战比武，坚持以赛促训、以训赋能，全面提升执法人员综合素质与专业本领，为宝安区经济社会高质量发展与生态环境高水平保护提供坚实有力的执法保障。</w:t>
      </w:r>
    </w:p>
    <w:p w14:paraId="6D95F9A0">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highlight w:val="none"/>
          <w:lang w:val="en-US" w:eastAsia="zh-CN"/>
        </w:rPr>
      </w:pPr>
    </w:p>
    <w:p w14:paraId="10B86DA7">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lang w:val="en-US" w:eastAsia="zh-CN"/>
        </w:rPr>
      </w:pPr>
    </w:p>
    <w:p w14:paraId="458A3811">
      <w:pPr>
        <w:pStyle w:val="3"/>
        <w:keepNext w:val="0"/>
        <w:keepLines w:val="0"/>
        <w:pageBreakBefore w:val="0"/>
        <w:widowControl w:val="0"/>
        <w:kinsoku/>
        <w:wordWrap/>
        <w:overflowPunct/>
        <w:topLinePunct w:val="0"/>
        <w:autoSpaceDE/>
        <w:autoSpaceDN/>
        <w:bidi w:val="0"/>
        <w:adjustRightInd/>
        <w:snapToGrid/>
        <w:spacing w:after="0" w:line="560" w:lineRule="exact"/>
        <w:ind w:left="1600" w:leftChars="200" w:hanging="960" w:hangingChars="3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附件：深圳市生态环境领域2026年“双随机、一公开”跨部门联合检查计划表</w:t>
      </w:r>
    </w:p>
    <w:p w14:paraId="03A6BFBB">
      <w:pPr>
        <w:jc w:val="center"/>
        <w:rPr>
          <w:rFonts w:hint="eastAsia"/>
        </w:rPr>
        <w:sectPr>
          <w:pgSz w:w="11906" w:h="16838"/>
          <w:pgMar w:top="2098" w:right="1474" w:bottom="1985" w:left="1588" w:header="851" w:footer="992" w:gutter="0"/>
          <w:cols w:space="425" w:num="1"/>
          <w:docGrid w:type="lines" w:linePitch="435" w:charSpace="0"/>
        </w:sectPr>
      </w:pPr>
    </w:p>
    <w:p w14:paraId="7A74926F">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bookmarkStart w:id="0" w:name="_GoBack"/>
      <w:bookmarkEnd w:id="0"/>
    </w:p>
    <w:p w14:paraId="3991F38B">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深圳市生态环境领域2026年“双随机、一公开”跨部门联合检查计划表</w:t>
      </w:r>
    </w:p>
    <w:tbl>
      <w:tblPr>
        <w:tblStyle w:val="11"/>
        <w:tblW w:w="198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0"/>
        <w:gridCol w:w="3017"/>
        <w:gridCol w:w="3933"/>
        <w:gridCol w:w="5141"/>
        <w:gridCol w:w="2381"/>
        <w:gridCol w:w="2163"/>
        <w:gridCol w:w="2234"/>
      </w:tblGrid>
      <w:tr w14:paraId="5344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8"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66639A5">
            <w:pPr>
              <w:keepNext w:val="0"/>
              <w:keepLines w:val="0"/>
              <w:widowControl/>
              <w:suppressLineNumbers w:val="0"/>
              <w:adjustRightInd w:val="0"/>
              <w:snapToGrid w:val="0"/>
              <w:spacing w:line="560" w:lineRule="exact"/>
              <w:jc w:val="center"/>
              <w:textAlignment w:val="center"/>
              <w:rPr>
                <w:rFonts w:ascii="楷体_GB2312" w:hAnsi="宋体" w:eastAsia="楷体_GB2312" w:cs="楷体_GB2312"/>
                <w:b/>
                <w:i w:val="0"/>
                <w:color w:val="auto"/>
                <w:sz w:val="32"/>
                <w:szCs w:val="32"/>
                <w:highlight w:val="none"/>
                <w:u w:val="none"/>
              </w:rPr>
            </w:pPr>
            <w:r>
              <w:rPr>
                <w:rFonts w:hint="default" w:ascii="楷体_GB2312" w:hAnsi="宋体" w:eastAsia="楷体_GB2312" w:cs="楷体_GB2312"/>
                <w:b/>
                <w:i w:val="0"/>
                <w:color w:val="auto"/>
                <w:kern w:val="0"/>
                <w:sz w:val="32"/>
                <w:szCs w:val="32"/>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53336DF">
            <w:pPr>
              <w:keepNext w:val="0"/>
              <w:keepLines w:val="0"/>
              <w:widowControl/>
              <w:suppressLineNumbers w:val="0"/>
              <w:adjustRightInd w:val="0"/>
              <w:snapToGrid w:val="0"/>
              <w:spacing w:line="560" w:lineRule="exact"/>
              <w:jc w:val="center"/>
              <w:textAlignment w:val="center"/>
              <w:rPr>
                <w:rFonts w:hint="default" w:ascii="楷体_GB2312" w:hAnsi="宋体" w:eastAsia="楷体_GB2312" w:cs="楷体_GB2312"/>
                <w:b/>
                <w:i w:val="0"/>
                <w:color w:val="auto"/>
                <w:sz w:val="32"/>
                <w:szCs w:val="32"/>
                <w:highlight w:val="none"/>
                <w:u w:val="none"/>
              </w:rPr>
            </w:pPr>
            <w:r>
              <w:rPr>
                <w:rFonts w:hint="default" w:ascii="楷体_GB2312" w:hAnsi="宋体" w:eastAsia="楷体_GB2312" w:cs="楷体_GB2312"/>
                <w:b/>
                <w:i w:val="0"/>
                <w:color w:val="auto"/>
                <w:kern w:val="0"/>
                <w:sz w:val="32"/>
                <w:szCs w:val="32"/>
                <w:highlight w:val="none"/>
                <w:u w:val="none"/>
                <w:lang w:val="en-US" w:eastAsia="zh-CN" w:bidi="ar"/>
              </w:rPr>
              <w:t>检查事项</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0C4F0C75">
            <w:pPr>
              <w:keepNext w:val="0"/>
              <w:keepLines w:val="0"/>
              <w:widowControl/>
              <w:suppressLineNumbers w:val="0"/>
              <w:adjustRightInd w:val="0"/>
              <w:snapToGrid w:val="0"/>
              <w:spacing w:line="560" w:lineRule="exact"/>
              <w:jc w:val="center"/>
              <w:textAlignment w:val="center"/>
              <w:rPr>
                <w:rFonts w:hint="default" w:ascii="楷体_GB2312" w:hAnsi="宋体" w:eastAsia="楷体_GB2312" w:cs="楷体_GB2312"/>
                <w:b/>
                <w:i w:val="0"/>
                <w:color w:val="auto"/>
                <w:sz w:val="32"/>
                <w:szCs w:val="32"/>
                <w:highlight w:val="none"/>
                <w:u w:val="none"/>
              </w:rPr>
            </w:pPr>
            <w:r>
              <w:rPr>
                <w:rFonts w:hint="default" w:ascii="楷体_GB2312" w:hAnsi="宋体" w:eastAsia="楷体_GB2312" w:cs="楷体_GB2312"/>
                <w:b/>
                <w:i w:val="0"/>
                <w:color w:val="auto"/>
                <w:kern w:val="0"/>
                <w:sz w:val="32"/>
                <w:szCs w:val="32"/>
                <w:highlight w:val="none"/>
                <w:u w:val="none"/>
                <w:lang w:val="en-US" w:eastAsia="zh-CN" w:bidi="ar"/>
              </w:rPr>
              <w:t>来源</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6F9AF33C">
            <w:pPr>
              <w:keepNext w:val="0"/>
              <w:keepLines w:val="0"/>
              <w:widowControl/>
              <w:suppressLineNumbers w:val="0"/>
              <w:adjustRightInd w:val="0"/>
              <w:snapToGrid w:val="0"/>
              <w:spacing w:line="560" w:lineRule="exact"/>
              <w:jc w:val="center"/>
              <w:textAlignment w:val="center"/>
              <w:rPr>
                <w:rFonts w:hint="default" w:ascii="楷体_GB2312" w:hAnsi="宋体" w:eastAsia="楷体_GB2312" w:cs="楷体_GB2312"/>
                <w:b/>
                <w:i w:val="0"/>
                <w:color w:val="auto"/>
                <w:sz w:val="32"/>
                <w:szCs w:val="32"/>
                <w:highlight w:val="none"/>
                <w:u w:val="none"/>
              </w:rPr>
            </w:pPr>
            <w:r>
              <w:rPr>
                <w:rFonts w:hint="default" w:ascii="楷体_GB2312" w:hAnsi="宋体" w:eastAsia="楷体_GB2312" w:cs="楷体_GB2312"/>
                <w:b/>
                <w:i w:val="0"/>
                <w:color w:val="auto"/>
                <w:kern w:val="0"/>
                <w:sz w:val="32"/>
                <w:szCs w:val="32"/>
                <w:highlight w:val="none"/>
                <w:u w:val="none"/>
                <w:lang w:val="en-US" w:eastAsia="zh-CN" w:bidi="ar"/>
              </w:rPr>
              <w:t>检查内容</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0C31CFC0">
            <w:pPr>
              <w:keepNext w:val="0"/>
              <w:keepLines w:val="0"/>
              <w:widowControl/>
              <w:suppressLineNumbers w:val="0"/>
              <w:adjustRightInd w:val="0"/>
              <w:snapToGrid w:val="0"/>
              <w:spacing w:line="560" w:lineRule="exact"/>
              <w:jc w:val="center"/>
              <w:textAlignment w:val="center"/>
              <w:rPr>
                <w:rFonts w:hint="default" w:ascii="楷体_GB2312" w:hAnsi="宋体" w:eastAsia="楷体_GB2312" w:cs="楷体_GB2312"/>
                <w:b/>
                <w:i w:val="0"/>
                <w:color w:val="auto"/>
                <w:sz w:val="32"/>
                <w:szCs w:val="32"/>
                <w:highlight w:val="none"/>
                <w:u w:val="none"/>
              </w:rPr>
            </w:pPr>
            <w:r>
              <w:rPr>
                <w:rFonts w:hint="default" w:ascii="楷体_GB2312" w:hAnsi="宋体" w:eastAsia="楷体_GB2312" w:cs="楷体_GB2312"/>
                <w:b/>
                <w:i w:val="0"/>
                <w:color w:val="auto"/>
                <w:kern w:val="0"/>
                <w:sz w:val="32"/>
                <w:szCs w:val="32"/>
                <w:highlight w:val="none"/>
                <w:u w:val="none"/>
                <w:lang w:val="en-US" w:eastAsia="zh-CN" w:bidi="ar"/>
              </w:rPr>
              <w:t>对象范围</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4838E118">
            <w:pPr>
              <w:keepNext w:val="0"/>
              <w:keepLines w:val="0"/>
              <w:widowControl/>
              <w:suppressLineNumbers w:val="0"/>
              <w:adjustRightInd w:val="0"/>
              <w:snapToGrid w:val="0"/>
              <w:spacing w:line="560" w:lineRule="exact"/>
              <w:jc w:val="center"/>
              <w:textAlignment w:val="center"/>
              <w:rPr>
                <w:rFonts w:hint="default" w:ascii="楷体_GB2312" w:hAnsi="宋体" w:eastAsia="楷体_GB2312" w:cs="楷体_GB2312"/>
                <w:b/>
                <w:i w:val="0"/>
                <w:color w:val="auto"/>
                <w:sz w:val="32"/>
                <w:szCs w:val="32"/>
                <w:highlight w:val="none"/>
                <w:u w:val="none"/>
              </w:rPr>
            </w:pPr>
            <w:r>
              <w:rPr>
                <w:rFonts w:hint="default" w:ascii="楷体_GB2312" w:hAnsi="宋体" w:eastAsia="楷体_GB2312" w:cs="楷体_GB2312"/>
                <w:b/>
                <w:i w:val="0"/>
                <w:color w:val="auto"/>
                <w:kern w:val="0"/>
                <w:sz w:val="32"/>
                <w:szCs w:val="32"/>
                <w:highlight w:val="none"/>
                <w:u w:val="none"/>
                <w:lang w:val="en-US" w:eastAsia="zh-CN" w:bidi="ar"/>
              </w:rPr>
              <w:t>实施部门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56B89375">
            <w:pPr>
              <w:keepNext w:val="0"/>
              <w:keepLines w:val="0"/>
              <w:widowControl/>
              <w:suppressLineNumbers w:val="0"/>
              <w:adjustRightInd w:val="0"/>
              <w:snapToGrid w:val="0"/>
              <w:spacing w:line="560" w:lineRule="exact"/>
              <w:jc w:val="center"/>
              <w:textAlignment w:val="center"/>
              <w:rPr>
                <w:rFonts w:hint="default" w:ascii="楷体_GB2312" w:hAnsi="宋体" w:eastAsia="楷体_GB2312" w:cs="楷体_GB2312"/>
                <w:b/>
                <w:i w:val="0"/>
                <w:color w:val="auto"/>
                <w:sz w:val="32"/>
                <w:szCs w:val="32"/>
                <w:highlight w:val="none"/>
                <w:u w:val="none"/>
              </w:rPr>
            </w:pPr>
            <w:r>
              <w:rPr>
                <w:rFonts w:hint="default" w:ascii="楷体_GB2312" w:hAnsi="宋体" w:eastAsia="楷体_GB2312" w:cs="楷体_GB2312"/>
                <w:b/>
                <w:i w:val="0"/>
                <w:color w:val="auto"/>
                <w:kern w:val="0"/>
                <w:sz w:val="32"/>
                <w:szCs w:val="32"/>
                <w:highlight w:val="none"/>
                <w:u w:val="none"/>
                <w:lang w:val="en-US" w:eastAsia="zh-CN" w:bidi="ar"/>
              </w:rPr>
              <w:t>实施时间</w:t>
            </w:r>
          </w:p>
        </w:tc>
      </w:tr>
      <w:tr w14:paraId="2D06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6"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B2FB84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5ED8B2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对管辖范围内与固体废物污染环境防治有关的单位的行政检查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486058B6">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1.广东省生态环境领域通用部门随机抽查事项清单（第二版）</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2.深圳市生态环境领域“双随机”抽查事项清单（第二版）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700045A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按照《中华人民共和国固体废物污染环境防治法》</w:t>
            </w:r>
            <w:r>
              <w:rPr>
                <w:rFonts w:hint="default" w:ascii="仿宋_GB2312" w:hAnsi="宋体" w:eastAsia="仿宋_GB2312" w:cs="仿宋_GB2312"/>
                <w:color w:val="auto"/>
                <w:kern w:val="0"/>
                <w:sz w:val="28"/>
                <w:szCs w:val="28"/>
                <w:highlight w:val="none"/>
                <w:lang w:bidi="ar"/>
              </w:rPr>
              <w:t>《废弃电器电子产品回收处理管理条例》《报废机动车回收管理办法实施细则》《新能源汽车废旧动力电池回收和综合利用管理暂行办法》</w:t>
            </w:r>
            <w:r>
              <w:rPr>
                <w:rFonts w:hint="default" w:ascii="仿宋_GB2312" w:hAnsi="宋体" w:eastAsia="仿宋_GB2312" w:cs="仿宋_GB2312"/>
                <w:i w:val="0"/>
                <w:color w:val="auto"/>
                <w:kern w:val="0"/>
                <w:sz w:val="28"/>
                <w:szCs w:val="28"/>
                <w:highlight w:val="none"/>
                <w:u w:val="none"/>
                <w:lang w:val="en-US" w:eastAsia="zh-CN" w:bidi="ar"/>
              </w:rPr>
              <w:t>《危险废物规范化环境管理评估指标》有关要求开展检查</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09366B9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lang w:val="en"/>
              </w:rPr>
            </w:pPr>
            <w:r>
              <w:rPr>
                <w:rFonts w:hint="default" w:ascii="仿宋_GB2312" w:hAnsi="宋体" w:eastAsia="仿宋_GB2312" w:cs="仿宋_GB2312"/>
                <w:i w:val="0"/>
                <w:color w:val="auto"/>
                <w:kern w:val="0"/>
                <w:sz w:val="28"/>
                <w:szCs w:val="28"/>
                <w:highlight w:val="none"/>
                <w:u w:val="none"/>
                <w:lang w:val="en-US" w:eastAsia="zh-CN" w:bidi="ar"/>
              </w:rPr>
              <w:t>机动车维修行业、</w:t>
            </w:r>
            <w:r>
              <w:rPr>
                <w:rFonts w:hint="default" w:ascii="仿宋_GB2312" w:hAnsi="宋体" w:eastAsia="仿宋_GB2312" w:cs="仿宋_GB2312"/>
                <w:color w:val="auto"/>
                <w:kern w:val="0"/>
                <w:sz w:val="28"/>
                <w:szCs w:val="28"/>
                <w:highlight w:val="none"/>
                <w:lang w:bidi="ar"/>
              </w:rPr>
              <w:t>报废机动车回收拆解企业、废旧动力电池综合利用企业</w:t>
            </w:r>
            <w:r>
              <w:rPr>
                <w:rFonts w:hint="default" w:ascii="仿宋_GB2312" w:hAnsi="宋体" w:eastAsia="仿宋_GB2312" w:cs="仿宋_GB2312"/>
                <w:color w:val="auto"/>
                <w:kern w:val="0"/>
                <w:sz w:val="28"/>
                <w:szCs w:val="28"/>
                <w:highlight w:val="none"/>
                <w:lang w:val="en" w:bidi="ar"/>
              </w:rPr>
              <w:t>、</w:t>
            </w:r>
            <w:r>
              <w:rPr>
                <w:rFonts w:hint="default" w:ascii="仿宋_GB2312" w:hAnsi="宋体" w:eastAsia="仿宋_GB2312" w:cs="仿宋_GB2312"/>
                <w:i w:val="0"/>
                <w:color w:val="auto"/>
                <w:kern w:val="0"/>
                <w:sz w:val="28"/>
                <w:szCs w:val="28"/>
                <w:highlight w:val="none"/>
                <w:u w:val="none"/>
                <w:lang w:val="en-US" w:eastAsia="zh-CN" w:bidi="ar"/>
              </w:rPr>
              <w:t>一般工业固体废物收运单位</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44E0F18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交通运输部门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商务部门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城管部门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属地街道办</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1019833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r w14:paraId="6722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76"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EB0CC6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58ADAFC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对医疗卫生机构和医疗废物集中处置单位的行政检查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74E8CA8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1.广东省生态环境领域通用部门随机抽查事项清单（第二版）</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2.深圳市生态环境领域“双随机”抽查事项清单（第二版）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6FDE806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针对医疗卫生机构和医疗废物集中处置单位从事医疗废物收集、运送、贮存、处置中的环境污染防治工作情况开展检查</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1F13240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医疗卫生机构和医疗废物集中处置单位</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67B0969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卫生健康部门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16FAC4B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r w14:paraId="604E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1"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864C66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2A17D5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加油站挥发性有机物（VOCs）排放抽查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11EB18D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051B1A9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对卸油油气回收系统、汽油密闭储存、加油油气回收系统、在线监控系统和油气排放处理装置等进行抽查</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03F4650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加油站</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36071854">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市场监管部门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应急管理部门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公安机关部门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563236D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r w14:paraId="1C09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25"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624244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30DB31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机动车排放检验机构检测情况抽查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0C81961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2F2C9918">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机动车排放检验情况和设备使用情况检查</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609EFCC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机动车排放检验机构</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4030C73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市场监管部门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应急管理部门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公安交管部门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049671F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r w14:paraId="344D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2"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A775C44">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C3792D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对综合性的扬尘污染防治工作，可以组织相关管理部门或者机构实施联合检查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2428A2E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689E8298">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对综合性的扬尘污染防治工作，可以组织相关管理部门或者机构实施联合检查</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4DFCF07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建筑工地</w:t>
            </w:r>
            <w:r>
              <w:rPr>
                <w:rFonts w:hint="eastAsia" w:ascii="仿宋_GB2312" w:hAnsi="宋体" w:eastAsia="仿宋_GB2312" w:cs="仿宋_GB2312"/>
                <w:i w:val="0"/>
                <w:color w:val="auto"/>
                <w:kern w:val="0"/>
                <w:sz w:val="28"/>
                <w:szCs w:val="28"/>
                <w:highlight w:val="none"/>
                <w:u w:val="none"/>
                <w:lang w:val="en-US" w:eastAsia="zh-CN" w:bidi="ar"/>
              </w:rPr>
              <w:t>、堆场</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60DC8A18">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住建部门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水务部门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交通部门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7987C51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r w14:paraId="6E07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20"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596B20A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380D5E6">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对辖区范围内排放环境噪声的单位和个体工商户的行政检查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7E1DCB7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6E5AB369">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噪声污染排放情况</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7B61FDC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建筑工地、个体工商户</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5E678C3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住建部门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水务部门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交通部门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市场监管部门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1249B87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2026年1月1日-年10月31日</w:t>
            </w:r>
          </w:p>
        </w:tc>
      </w:tr>
      <w:tr w14:paraId="6B46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42"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5624991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70BF23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对产生、收集、贮存、运输、利用、处置危险废物的单位的防范措施和应急预案进行检查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3D263E5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61D39656">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 xml:space="preserve">1.环评执行情况 </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2.生产及设施运行情况</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3.回用设施运行情况</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4.危险废物贮存情况</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5.现场测试及采样情况（污染物排放情况）</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6.环保档案建设情况</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7.其他按照法律法规规定的检查内容</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1F121C2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产生、收集、贮存、运输、利用、处置危险废物的单位</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4D5F588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应急管理部门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公安部门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消防救援部门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交通运输部门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50FBCE5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r w14:paraId="1748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58"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18C6D5B">
            <w:pPr>
              <w:keepNext w:val="0"/>
              <w:keepLines w:val="0"/>
              <w:widowControl/>
              <w:suppressLineNumbers w:val="0"/>
              <w:adjustRightInd w:val="0"/>
              <w:snapToGrid w:val="0"/>
              <w:spacing w:line="5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6AE2C4F">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对排放污染物的企业事业单位和其他生产经营者的行政检查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417CDAE8">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69AD8215">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以排污许可证后监管为核心，重点围绕围绕环评批复情况、竣工验收情况、“三同时”执行情况、排污口规范化情况、废气废水排放合规性情况、固废处置情况、自行监测情况、环境管理台账情况、执行报告情况、自行监测信息公开情况、环境信息公开情况等开展检查</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5211F491">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餐饮企业、工业企业、海水养殖企业等排放污染物的企业事业单位和其他生产经营者</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7A2BBA89">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水务部门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应急管理部门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市场监管部门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海洋综合执法部门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558C70B1">
            <w:pPr>
              <w:keepNext w:val="0"/>
              <w:keepLines w:val="0"/>
              <w:widowControl/>
              <w:suppressLineNumbers w:val="0"/>
              <w:adjustRightInd w:val="0"/>
              <w:snapToGrid w:val="0"/>
              <w:spacing w:line="5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r w14:paraId="2AB0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20"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83EC7D7">
            <w:pPr>
              <w:keepNext w:val="0"/>
              <w:keepLines w:val="0"/>
              <w:widowControl/>
              <w:suppressLineNumbers w:val="0"/>
              <w:adjustRightInd w:val="0"/>
              <w:snapToGrid w:val="0"/>
              <w:spacing w:line="5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C42F56C">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对生态环境监测机构数据质量的行政检查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0A63D2D6">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1.广东省生态环境领域通用部门随机抽查事项清单（第二版）</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2.深圳市生态环境领域“双随机”抽查事项清单（第二版）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38EBB3D6">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监测活动开展是否规范，是否存在数据失实或篡改、伪造生态环境监测数据行为</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5EA9112D">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生态环境监测机构</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6A72273F">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市场监管部门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57AE86DD">
            <w:pPr>
              <w:keepNext w:val="0"/>
              <w:keepLines w:val="0"/>
              <w:widowControl/>
              <w:suppressLineNumbers w:val="0"/>
              <w:adjustRightInd w:val="0"/>
              <w:snapToGrid w:val="0"/>
              <w:spacing w:line="5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r w14:paraId="7F95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10"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12E8736">
            <w:pPr>
              <w:keepNext w:val="0"/>
              <w:keepLines w:val="0"/>
              <w:widowControl/>
              <w:suppressLineNumbers w:val="0"/>
              <w:adjustRightInd w:val="0"/>
              <w:snapToGrid w:val="0"/>
              <w:spacing w:line="5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C687E1C">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对本行政区域内的新化学物质生产、加工使用活动的行政检查</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2FE464E4">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1.广东省生态环境领域通用部门随机抽查事项清单（第二版）</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2.深圳市生态环境领域“双随机”抽查事项清单（第二版）</w:t>
            </w:r>
          </w:p>
        </w:tc>
        <w:tc>
          <w:tcPr>
            <w:tcW w:w="5141" w:type="dxa"/>
            <w:tcBorders>
              <w:top w:val="single" w:color="000000" w:sz="4" w:space="0"/>
              <w:left w:val="single" w:color="000000" w:sz="4" w:space="0"/>
              <w:bottom w:val="single" w:color="000000" w:sz="4" w:space="0"/>
              <w:right w:val="single" w:color="000000" w:sz="4" w:space="0"/>
            </w:tcBorders>
            <w:noWrap w:val="0"/>
            <w:vAlign w:val="center"/>
          </w:tcPr>
          <w:p w14:paraId="4FF44342">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围绕是否按要求办理新化学物质环境管理登记、登记事项的真实性、登记证载明事项以及《新化学物质环境管理登记办法》其他相关规定的落实情况开展检查</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1726F10F">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国务院生态环境主管部门通报的辖区内新化学物质环境管理登记情况有关企业</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44CDFA7F">
            <w:pPr>
              <w:keepNext w:val="0"/>
              <w:keepLines w:val="0"/>
              <w:widowControl/>
              <w:suppressLineNumbers w:val="0"/>
              <w:adjustRightInd w:val="0"/>
              <w:snapToGrid w:val="0"/>
              <w:spacing w:line="460" w:lineRule="exact"/>
              <w:jc w:val="center"/>
              <w:textAlignment w:val="center"/>
              <w:rPr>
                <w:rFonts w:hint="default" w:ascii="仿宋_GB2312" w:hAnsi="宋体" w:eastAsia="仿宋_GB2312" w:cs="仿宋_GB2312"/>
                <w:i w:val="0"/>
                <w:color w:val="auto"/>
                <w:kern w:val="0"/>
                <w:sz w:val="28"/>
                <w:szCs w:val="28"/>
                <w:highlight w:val="none"/>
                <w:u w:val="none"/>
                <w:lang w:bidi="ar"/>
              </w:rPr>
            </w:pPr>
            <w:r>
              <w:rPr>
                <w:rFonts w:hint="default" w:ascii="仿宋_GB2312" w:hAnsi="宋体" w:eastAsia="仿宋_GB2312" w:cs="仿宋_GB2312"/>
                <w:i w:val="0"/>
                <w:color w:val="auto"/>
                <w:kern w:val="0"/>
                <w:sz w:val="28"/>
                <w:szCs w:val="28"/>
                <w:highlight w:val="none"/>
                <w:u w:val="none"/>
                <w:lang w:val="en-US" w:eastAsia="zh-CN" w:bidi="ar"/>
              </w:rPr>
              <w:t>生态环境部门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卫生健康部门</w:t>
            </w:r>
            <w:r>
              <w:rPr>
                <w:rFonts w:hint="default" w:ascii="仿宋_GB2312" w:hAnsi="宋体" w:eastAsia="仿宋_GB2312" w:cs="仿宋_GB2312"/>
                <w:i w:val="0"/>
                <w:color w:val="auto"/>
                <w:kern w:val="0"/>
                <w:sz w:val="28"/>
                <w:szCs w:val="28"/>
                <w:highlight w:val="none"/>
                <w:u w:val="none"/>
                <w:lang w:val="en-US" w:eastAsia="zh-CN" w:bidi="ar"/>
              </w:rPr>
              <w:br w:type="textWrapping"/>
            </w:r>
            <w:r>
              <w:rPr>
                <w:rFonts w:hint="default" w:ascii="仿宋_GB2312" w:hAnsi="宋体" w:eastAsia="仿宋_GB2312" w:cs="仿宋_GB2312"/>
                <w:i w:val="0"/>
                <w:color w:val="auto"/>
                <w:kern w:val="0"/>
                <w:sz w:val="28"/>
                <w:szCs w:val="28"/>
                <w:highlight w:val="none"/>
                <w:u w:val="none"/>
                <w:lang w:val="en-US" w:eastAsia="zh-CN" w:bidi="ar"/>
              </w:rPr>
              <w:t>市场监管部门</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74F9C07E">
            <w:pPr>
              <w:keepNext w:val="0"/>
              <w:keepLines w:val="0"/>
              <w:widowControl/>
              <w:suppressLineNumbers w:val="0"/>
              <w:adjustRightInd w:val="0"/>
              <w:snapToGrid w:val="0"/>
              <w:spacing w:line="560" w:lineRule="exact"/>
              <w:jc w:val="center"/>
              <w:textAlignment w:val="center"/>
              <w:rPr>
                <w:rFonts w:hint="default" w:ascii="仿宋_GB2312" w:hAnsi="宋体" w:eastAsia="仿宋_GB2312" w:cs="仿宋_GB2312"/>
                <w:i w:val="0"/>
                <w:color w:val="auto"/>
                <w:sz w:val="28"/>
                <w:szCs w:val="28"/>
                <w:highlight w:val="none"/>
                <w:u w:val="none"/>
              </w:rPr>
            </w:pPr>
            <w:r>
              <w:rPr>
                <w:rFonts w:hint="default" w:ascii="仿宋_GB2312" w:hAnsi="宋体" w:eastAsia="仿宋_GB2312" w:cs="仿宋_GB2312"/>
                <w:i w:val="0"/>
                <w:color w:val="auto"/>
                <w:kern w:val="0"/>
                <w:sz w:val="28"/>
                <w:szCs w:val="28"/>
                <w:highlight w:val="none"/>
                <w:u w:val="none"/>
                <w:lang w:val="en-US" w:eastAsia="zh-CN" w:bidi="ar"/>
              </w:rPr>
              <w:t>2026年1月1日-10月31日</w:t>
            </w:r>
          </w:p>
        </w:tc>
      </w:tr>
    </w:tbl>
    <w:p w14:paraId="65884D59">
      <w:pPr>
        <w:pStyle w:val="3"/>
        <w:rPr>
          <w:rFonts w:hint="eastAsia"/>
        </w:rPr>
      </w:pPr>
    </w:p>
    <w:sectPr>
      <w:footerReference r:id="rId3" w:type="default"/>
      <w:pgSz w:w="23811" w:h="16838" w:orient="landscape"/>
      <w:pgMar w:top="1587" w:right="2154" w:bottom="1474" w:left="1587" w:header="851" w:footer="992" w:gutter="0"/>
      <w:pgNumType w:fmt="decimal"/>
      <w:cols w:space="720" w:num="1"/>
      <w:rtlGutter w:val="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19FA47-50BC-4F8F-AC79-9A000C4059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4A9FFBD-1ED9-4387-9EFD-909E564830F0}"/>
  </w:font>
  <w:font w:name="青鸟华光简小标宋">
    <w:panose1 w:val="02010604000101010101"/>
    <w:charset w:val="86"/>
    <w:family w:val="auto"/>
    <w:pitch w:val="default"/>
    <w:sig w:usb0="00000001" w:usb1="080E0000" w:usb2="00000000" w:usb3="00000000" w:csb0="00040001" w:csb1="00000000"/>
  </w:font>
  <w:font w:name="小标宋">
    <w:altName w:val="Arial Unicode MS"/>
    <w:panose1 w:val="03000509000000000000"/>
    <w:charset w:val="86"/>
    <w:family w:val="auto"/>
    <w:pitch w:val="default"/>
    <w:sig w:usb0="00000000" w:usb1="00000000" w:usb2="00000000" w:usb3="00000000" w:csb0="00040000" w:csb1="00000000"/>
    <w:embedRegular r:id="rId3" w:fontKey="{E6787A48-F56C-4961-A50F-4C71656E69C0}"/>
  </w:font>
  <w:font w:name="楷体_GB2312">
    <w:panose1 w:val="02010609030101010101"/>
    <w:charset w:val="86"/>
    <w:family w:val="auto"/>
    <w:pitch w:val="default"/>
    <w:sig w:usb0="00000001" w:usb1="080E0000" w:usb2="00000000" w:usb3="00000000" w:csb0="00040000" w:csb1="00000000"/>
    <w:embedRegular r:id="rId4" w:fontKey="{7D6B03C7-E448-41E3-8D30-7A549565A060}"/>
  </w:font>
  <w:font w:name="楷体">
    <w:panose1 w:val="02010609060101010101"/>
    <w:charset w:val="86"/>
    <w:family w:val="modern"/>
    <w:pitch w:val="default"/>
    <w:sig w:usb0="800002BF" w:usb1="38CF7CFA" w:usb2="00000016" w:usb3="00000000" w:csb0="00040001" w:csb1="00000000"/>
    <w:embedRegular r:id="rId5" w:fontKey="{E5452D3F-61A6-4080-BA5B-825EE9CBAF84}"/>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6" w:fontKey="{45807E57-F8F4-4508-B858-F1D2EE0143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2B1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D8BEF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5D8BEF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95870"/>
    <w:multiLevelType w:val="singleLevel"/>
    <w:tmpl w:val="B8895870"/>
    <w:lvl w:ilvl="0" w:tentative="0">
      <w:start w:val="1"/>
      <w:numFmt w:val="chineseCounting"/>
      <w:pStyle w:val="14"/>
      <w:suff w:val="nothing"/>
      <w:lvlText w:val="%1、"/>
      <w:lvlJc w:val="left"/>
      <w:pPr>
        <w:ind w:left="0" w:firstLine="420"/>
      </w:pPr>
      <w:rPr>
        <w:rFonts w:hint="eastAsia"/>
      </w:rPr>
    </w:lvl>
  </w:abstractNum>
  <w:abstractNum w:abstractNumId="1">
    <w:nsid w:val="ED3B0DFB"/>
    <w:multiLevelType w:val="singleLevel"/>
    <w:tmpl w:val="ED3B0DFB"/>
    <w:lvl w:ilvl="0" w:tentative="0">
      <w:start w:val="1"/>
      <w:numFmt w:val="decimal"/>
      <w:pStyle w:val="6"/>
      <w:suff w:val="nothing"/>
      <w:lvlText w:val="%1．"/>
      <w:lvlJc w:val="left"/>
      <w:pPr>
        <w:ind w:left="0" w:firstLine="400"/>
      </w:pPr>
      <w:rPr>
        <w:rFonts w:hint="default"/>
      </w:rPr>
    </w:lvl>
  </w:abstractNum>
  <w:abstractNum w:abstractNumId="2">
    <w:nsid w:val="3D0C1E00"/>
    <w:multiLevelType w:val="singleLevel"/>
    <w:tmpl w:val="3D0C1E00"/>
    <w:lvl w:ilvl="0" w:tentative="0">
      <w:start w:val="1"/>
      <w:numFmt w:val="decimal"/>
      <w:pStyle w:val="16"/>
      <w:suff w:val="nothing"/>
      <w:lvlText w:val="%1．"/>
      <w:lvlJc w:val="left"/>
      <w:pPr>
        <w:ind w:left="0" w:firstLine="400"/>
      </w:pPr>
      <w:rPr>
        <w:rFonts w:hint="default"/>
      </w:rPr>
    </w:lvl>
  </w:abstractNum>
  <w:abstractNum w:abstractNumId="3">
    <w:nsid w:val="62BE629A"/>
    <w:multiLevelType w:val="singleLevel"/>
    <w:tmpl w:val="62BE629A"/>
    <w:lvl w:ilvl="0" w:tentative="0">
      <w:start w:val="1"/>
      <w:numFmt w:val="chineseCounting"/>
      <w:pStyle w:val="15"/>
      <w:suff w:val="nothing"/>
      <w:lvlText w:val="（%1）"/>
      <w:lvlJc w:val="left"/>
      <w:pPr>
        <w:ind w:left="0" w:firstLine="42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DI3MjMwOTA0YzVlODNjMDUyOWQzYTgyODExNWQifQ=="/>
  </w:docVars>
  <w:rsids>
    <w:rsidRoot w:val="770D5594"/>
    <w:rsid w:val="00485E8A"/>
    <w:rsid w:val="00687C54"/>
    <w:rsid w:val="008478C9"/>
    <w:rsid w:val="02354B2F"/>
    <w:rsid w:val="02DC3E22"/>
    <w:rsid w:val="03A57B0F"/>
    <w:rsid w:val="071A3E14"/>
    <w:rsid w:val="0B09623F"/>
    <w:rsid w:val="0CAD2569"/>
    <w:rsid w:val="0E132B70"/>
    <w:rsid w:val="0FE53D01"/>
    <w:rsid w:val="134664C8"/>
    <w:rsid w:val="14F456E7"/>
    <w:rsid w:val="155A1613"/>
    <w:rsid w:val="18E01BF7"/>
    <w:rsid w:val="19957A1E"/>
    <w:rsid w:val="1AE75C3B"/>
    <w:rsid w:val="1C8C1E07"/>
    <w:rsid w:val="1CBF4223"/>
    <w:rsid w:val="1DAA6C81"/>
    <w:rsid w:val="1F9757E1"/>
    <w:rsid w:val="22356338"/>
    <w:rsid w:val="23D507D0"/>
    <w:rsid w:val="24AD7DE5"/>
    <w:rsid w:val="251D6DF2"/>
    <w:rsid w:val="28C86728"/>
    <w:rsid w:val="28DE3F9A"/>
    <w:rsid w:val="2F076946"/>
    <w:rsid w:val="31085D41"/>
    <w:rsid w:val="331059EE"/>
    <w:rsid w:val="340547BA"/>
    <w:rsid w:val="36606D27"/>
    <w:rsid w:val="38153792"/>
    <w:rsid w:val="3A0A7D64"/>
    <w:rsid w:val="3A451DB4"/>
    <w:rsid w:val="3C5D61BC"/>
    <w:rsid w:val="3E7951E7"/>
    <w:rsid w:val="3FAE3F57"/>
    <w:rsid w:val="3FF5597C"/>
    <w:rsid w:val="4070745F"/>
    <w:rsid w:val="43BB1D38"/>
    <w:rsid w:val="454E6181"/>
    <w:rsid w:val="45A85CB9"/>
    <w:rsid w:val="482869A9"/>
    <w:rsid w:val="48D23313"/>
    <w:rsid w:val="48E954BB"/>
    <w:rsid w:val="497A30FC"/>
    <w:rsid w:val="49CA0B8B"/>
    <w:rsid w:val="4EC61B6E"/>
    <w:rsid w:val="503548F9"/>
    <w:rsid w:val="50C94FF3"/>
    <w:rsid w:val="50EC26FA"/>
    <w:rsid w:val="50EF2622"/>
    <w:rsid w:val="510408CD"/>
    <w:rsid w:val="55216B22"/>
    <w:rsid w:val="58A6720B"/>
    <w:rsid w:val="598D29D8"/>
    <w:rsid w:val="5B994890"/>
    <w:rsid w:val="5F72600E"/>
    <w:rsid w:val="615B54BA"/>
    <w:rsid w:val="6298608A"/>
    <w:rsid w:val="6322442C"/>
    <w:rsid w:val="66790A86"/>
    <w:rsid w:val="68933D0D"/>
    <w:rsid w:val="6ADD0B5E"/>
    <w:rsid w:val="6C0079BC"/>
    <w:rsid w:val="6CA864B7"/>
    <w:rsid w:val="6D2A25C0"/>
    <w:rsid w:val="6E072901"/>
    <w:rsid w:val="70033387"/>
    <w:rsid w:val="724C47E4"/>
    <w:rsid w:val="73125A78"/>
    <w:rsid w:val="734A5E6E"/>
    <w:rsid w:val="738F3D39"/>
    <w:rsid w:val="73B0358E"/>
    <w:rsid w:val="765B3F2D"/>
    <w:rsid w:val="769C7EA6"/>
    <w:rsid w:val="770D5594"/>
    <w:rsid w:val="78B85F12"/>
    <w:rsid w:val="7A622F0C"/>
    <w:rsid w:val="7DFBEBA5"/>
    <w:rsid w:val="7E175EEC"/>
    <w:rsid w:val="7ECB05DB"/>
    <w:rsid w:val="7EDC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rPr>
  </w:style>
  <w:style w:type="paragraph" w:styleId="6">
    <w:name w:val="heading 3"/>
    <w:basedOn w:val="1"/>
    <w:next w:val="1"/>
    <w:semiHidden/>
    <w:unhideWhenUsed/>
    <w:qFormat/>
    <w:uiPriority w:val="0"/>
    <w:pPr>
      <w:keepNext/>
      <w:keepLines/>
      <w:numPr>
        <w:ilvl w:val="0"/>
        <w:numId w:val="1"/>
      </w:numPr>
      <w:spacing w:line="560" w:lineRule="exact"/>
      <w:outlineLvl w:val="2"/>
    </w:pPr>
    <w:rPr>
      <w:rFonts w:ascii="仿宋_GB2312" w:hAnsi="仿宋_GB2312" w:cs="仿宋_GB2312"/>
      <w:b/>
    </w:rPr>
  </w:style>
  <w:style w:type="paragraph" w:styleId="7">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pPr>
      <w:spacing w:after="12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itle"/>
    <w:basedOn w:val="1"/>
    <w:next w:val="1"/>
    <w:qFormat/>
    <w:uiPriority w:val="0"/>
    <w:pPr>
      <w:spacing w:before="240" w:after="60"/>
      <w:jc w:val="center"/>
      <w:outlineLvl w:val="0"/>
    </w:pPr>
    <w:rPr>
      <w:rFonts w:ascii="Arial" w:hAnsi="Arial"/>
      <w:b/>
    </w:rPr>
  </w:style>
  <w:style w:type="paragraph" w:styleId="10">
    <w:name w:val="Body Text First Indent"/>
    <w:basedOn w:val="3"/>
    <w:next w:val="3"/>
    <w:unhideWhenUsed/>
    <w:qFormat/>
    <w:uiPriority w:val="99"/>
    <w:pPr>
      <w:ind w:firstLine="420" w:firstLineChars="100"/>
    </w:pPr>
  </w:style>
  <w:style w:type="paragraph" w:customStyle="1" w:styleId="13">
    <w:name w:val="公文标体"/>
    <w:basedOn w:val="9"/>
    <w:next w:val="4"/>
    <w:qFormat/>
    <w:uiPriority w:val="0"/>
    <w:pPr>
      <w:spacing w:line="560" w:lineRule="exact"/>
    </w:pPr>
    <w:rPr>
      <w:rFonts w:eastAsia="青鸟华光简小标宋" w:asciiTheme="minorHAnsi" w:hAnsiTheme="minorHAnsi"/>
      <w:sz w:val="44"/>
    </w:rPr>
  </w:style>
  <w:style w:type="paragraph" w:customStyle="1" w:styleId="14">
    <w:name w:val="公文标题1"/>
    <w:basedOn w:val="1"/>
    <w:next w:val="4"/>
    <w:qFormat/>
    <w:uiPriority w:val="0"/>
    <w:pPr>
      <w:numPr>
        <w:ilvl w:val="0"/>
        <w:numId w:val="2"/>
      </w:numPr>
      <w:ind w:firstLine="0"/>
      <w:jc w:val="left"/>
      <w:outlineLvl w:val="1"/>
    </w:pPr>
    <w:rPr>
      <w:rFonts w:ascii="黑体" w:hAnsi="黑体" w:eastAsia="黑体" w:cs="黑体"/>
    </w:rPr>
  </w:style>
  <w:style w:type="paragraph" w:customStyle="1" w:styleId="15">
    <w:name w:val="公文标题2"/>
    <w:basedOn w:val="5"/>
    <w:next w:val="1"/>
    <w:qFormat/>
    <w:uiPriority w:val="0"/>
    <w:pPr>
      <w:numPr>
        <w:ilvl w:val="0"/>
        <w:numId w:val="3"/>
      </w:numPr>
      <w:spacing w:line="560" w:lineRule="atLeast"/>
      <w:jc w:val="left"/>
      <w:outlineLvl w:val="2"/>
    </w:pPr>
    <w:rPr>
      <w:rFonts w:ascii="仿宋_GB2312" w:hAnsi="仿宋_GB2312" w:eastAsia="仿宋_GB2312" w:cs="仿宋_GB2312"/>
    </w:rPr>
  </w:style>
  <w:style w:type="paragraph" w:customStyle="1" w:styleId="16">
    <w:name w:val="公文标题3"/>
    <w:basedOn w:val="7"/>
    <w:next w:val="1"/>
    <w:qFormat/>
    <w:uiPriority w:val="0"/>
    <w:pPr>
      <w:numPr>
        <w:ilvl w:val="0"/>
        <w:numId w:val="4"/>
      </w:numPr>
      <w:spacing w:line="560" w:lineRule="exact"/>
      <w:jc w:val="left"/>
    </w:pPr>
    <w:rPr>
      <w:rFonts w:ascii="仿宋_GB2312" w:hAnsi="仿宋_GB2312" w:eastAsia="仿宋_GB2312" w:cs="仿宋_GB2312"/>
      <w:sz w:val="32"/>
    </w:rPr>
  </w:style>
  <w:style w:type="paragraph" w:customStyle="1" w:styleId="17">
    <w:name w:val="公文正文"/>
    <w:basedOn w:val="3"/>
    <w:qFormat/>
    <w:uiPriority w:val="0"/>
    <w:pPr>
      <w:spacing w:line="560" w:lineRule="exact"/>
      <w:ind w:firstLine="643" w:firstLineChars="200"/>
      <w:jc w:val="left"/>
    </w:pPr>
    <w:rPr>
      <w:rFonts w:asciiTheme="minorHAnsi" w:hAnsiTheme="minorHAns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6075</Words>
  <Characters>6184</Characters>
  <Lines>3</Lines>
  <Paragraphs>1</Paragraphs>
  <TotalTime>0</TotalTime>
  <ScaleCrop>false</ScaleCrop>
  <LinksUpToDate>false</LinksUpToDate>
  <CharactersWithSpaces>6184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2022-03-22T22:32:00Z</dcterms:created>
  <dc:creator>Newborn</dc:creator>
  <cp:lastModifiedBy>莫</cp:lastModifiedBy>
  <cp:lastPrinted>2026-03-09T02:43:00Z</cp:lastPrinted>
  <dcterms:modified xsi:type="dcterms:W3CDTF">2026-03-18T09:43:09Z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4EDC715C2F7D49B3883571C172D606B3_13</vt:lpwstr>
  </property>
  <property fmtid="{D5CDD505-2E9C-101B-9397-08002B2CF9AE}" pid="4" name="KSOTemplateDocerSaveRecord">
    <vt:lpwstr>eyJoZGlkIjoiYzRmNjAyMTM2MjkwZDA5ZWVkNGQ2YTYyODY0YzA4YWYiLCJ1c2VySWQiOiIyNzYyNjUyMzMifQ==</vt:lpwstr>
  </property>
</Properties>
</file>