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15B6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597C89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BD749B2">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7</w:t>
      </w:r>
      <w:r>
        <w:rPr>
          <w:rFonts w:hint="eastAsia" w:ascii="仿宋_GB2312" w:hAnsi="宋体" w:eastAsia="仿宋_GB2312" w:cs="宋体"/>
          <w:kern w:val="0"/>
          <w:sz w:val="30"/>
          <w:szCs w:val="30"/>
          <w:highlight w:val="none"/>
          <w:u w:val="none"/>
        </w:rPr>
        <w:t>号</w:t>
      </w:r>
    </w:p>
    <w:p w14:paraId="4F9B467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BB821C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6CF10B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8F3083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968E46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99DB6B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根据韶关市生态环境局转来线索，我局于2025年12月31日和2026年1月6日对你单位进行调查询问、于2026年1月5日对你单位6个机房进行现场检查勘察，发现：</w:t>
      </w:r>
    </w:p>
    <w:p w14:paraId="09C3B21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你单位鸿隆大厦6楼的机房于2025年12月4日更换48节铅蓄电池，兆龙大厦机房于2025年12月17日拆除48节铅蓄电池，海岸城西座机房于2025年11</w:t>
      </w:r>
      <w:bookmarkStart w:id="0" w:name="_GoBack"/>
      <w:bookmarkEnd w:id="0"/>
      <w:r>
        <w:rPr>
          <w:rFonts w:hint="eastAsia" w:ascii="仿宋_GB2312" w:hAnsi="仿宋_GB2312" w:eastAsia="仿宋_GB2312" w:cs="仿宋_GB2312"/>
          <w:kern w:val="0"/>
          <w:sz w:val="28"/>
          <w:szCs w:val="28"/>
          <w:highlight w:val="none"/>
          <w:u w:val="none"/>
        </w:rPr>
        <w:t>月28日更换24节铅蓄电池，易思博软件大厦机房于2025年12月17日拆除48节铅蓄电池，新德家园机房于2025年11月22日更换24节铅蓄电池，华晶玻璃机房于2025年11月28日更换48节铅蓄电池，经你单位确认，更换或拆除的铅蓄电池为废铅蓄电池，共计240个。对照《国家危险废物名录（2025年版）》，前述废铅蓄电池属于《国家危险废物名录（2025年版）》中HW31含铅废物，废物代码900-052-31，为危险废物。</w:t>
      </w:r>
    </w:p>
    <w:p w14:paraId="0E11568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该批废铅蓄电池于2025年12月17日从深圳市南山区出发，经货车辽A9B36S运往湖南省郴州市资兴市的</w:t>
      </w:r>
      <w:r>
        <w:rPr>
          <w:rFonts w:hint="default"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rPr>
        <w:t>。2025年12月18日，货车司机在运输到韶关时主动报警，该批废铅蓄电池被韶关市生态环境局先行登记保存于韶关市曲江区东韶大道22号韶关液压件装备园第10号厂房（华南装备园）。</w:t>
      </w:r>
    </w:p>
    <w:p w14:paraId="570837B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2026年1月9日，我局执法人员对位于韶关市曲江区东韶大道22号韶关液压件装备园第10号厂房（华南装备园）存放于危废仓库内的由韶关市生态环境局先行登记保存的证据物品进行检查，你单位现场确认该处240个废铅蓄电池为你单位分别位于鸿隆大厦6楼、兆龙大厦机房、海岸城西座机房、易思博软件大厦机房、新德家园机房、华晶玻璃机房（共六个机房）更换下来的废铅蓄电池，为你单位所有，总质量为8440kg。</w:t>
      </w:r>
    </w:p>
    <w:p w14:paraId="5721043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2026年1月12日，你单位向我局提交上述废铅蓄电池的危险废物转移联单（省平台联单编号：4403202511897993）。经核实，该转移联单与前述废铅蓄电池转移情况不符：1、未填写交付时间，与实际拉运日期2025年12月17日不符；2、未填写该联单第二部分中的危险废物运输信息；3.危险废物接受信息与该批废铅蓄电池的去向不符。</w:t>
      </w:r>
    </w:p>
    <w:p w14:paraId="2D54A91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你单位存在未按照国家有关规定填写、运行危险废物转移联单的环境违法行为。                                                        </w:t>
      </w:r>
    </w:p>
    <w:p w14:paraId="60B0A8C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D5E59B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1、2026年1月5日、2026年1月9日我局执法人员制作的现场检查（勘察）笔录，2025年12月31日和2026年1月6日我局执法人员制作的调查询问笔录，证明我局执法人员的执法检查、调查情况；</w:t>
      </w:r>
    </w:p>
    <w:p w14:paraId="56CDDF4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1月5日、2026年1月9日我局执法人员制作的现场照片（图片/视频）、2026年1月5日你单位提供的电池回收现场交接单、2026年1月12日你单位提供的危险废物转移联单（省平台联单编号：4403202511897993）、2025年12月22日我局收到的韶关市生态环境局工作告知函、韶关市生态环境局曲江分局先行登记保存证据通知书（韶环（曲江）登存〔2025〕2号），证明你单位转移的废铅蓄电池属于《国家危险废物名录（2025年版）》中HW31含铅废物，废物代码900-052-31，为危险废物，你单位提供的该批废铅蓄电池转移联单与废铅蓄电池实际转移情况不符，你单位存在未按照国家有关规定填写、运行危险废物转移联单的环境违法行为；</w:t>
      </w:r>
    </w:p>
    <w:p w14:paraId="71EBDAF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3、2026年1月12日你单位提供的营业执照复印件、法定代表人(负责人)身份证明书、身份证复印件、授权委托书等材料，证明你单位的主体适格；</w:t>
      </w:r>
    </w:p>
    <w:p w14:paraId="3FDBDE4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4、执法人员执法证复印件，证明执法人员身份合法。</w:t>
      </w:r>
    </w:p>
    <w:p w14:paraId="54208D0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你单位的上述行为违反了《中华人民共和国固体废物污染环境防治法》第八十二条第一款“转移危险废物的，应当按照国家有关规定填写、运行危险废物电子或者纸质转移联单”的规定。</w:t>
      </w:r>
    </w:p>
    <w:p w14:paraId="11C77EB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固体废物污染环境防治法》第一百一十二条第一款第五项“违反本法规定，有下列行为之一，由生态环境主管部门责令改正，处以罚款，没收违法所得；情节严重的，报经有批准权的人民政府批准，可以责令停业或者关闭：（五）未按照国家有关规定填写、运行危险废物转移联单或者未经批准擅自转移危险废物的”以及《中华人民共和国固体废物污染环境防治法》第一百一十二条第二款“有前款第一项、第二项、第五项、第六项、第七项、第八项、第九项、第十二项、第十三项行为之一，处十万元以上一百万元以下的罚款；有前款第三项、第四项、第十项、第十一项行为之一，处所需处置费用三倍以上五倍以下的罚款，所需处置费用不足二十万元的，按二十万元计算”的规定，现责令你单位限期七天内改正未按照国家有关规定填写、运行危险废物转移联单的环境违法行为。</w:t>
      </w:r>
    </w:p>
    <w:p w14:paraId="291EB89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如上述违法行为属于应依法直接给予行政处罚的情形，则对该行为的处罚不以整改结果为前提条件。</w:t>
      </w:r>
    </w:p>
    <w:p w14:paraId="574EE38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固体废物污染环境防治法》第一百一十九条“单位和其他生产经营者违反本法规定排放固体废物，受到罚款处罚，被责令改正的，依法作出处罚决定的行政机关应当组织复查，发现其继续实施该违法行为的，依照《中华人民共和国环境保护法》的规定按日连续处罚”等规定，依法采取法律赋予生态环境部门的监管措施。</w:t>
      </w:r>
    </w:p>
    <w:p w14:paraId="2F58C02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4D5E18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D548F6A">
      <w:pPr>
        <w:pStyle w:val="4"/>
        <w:rPr>
          <w:rFonts w:hint="eastAsia"/>
          <w:highlight w:val="none"/>
        </w:rPr>
      </w:pPr>
    </w:p>
    <w:p w14:paraId="5AB9252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9BC4C88">
      <w:pPr>
        <w:pStyle w:val="4"/>
        <w:rPr>
          <w:rFonts w:hint="eastAsia"/>
          <w:highlight w:val="none"/>
        </w:rPr>
      </w:pPr>
    </w:p>
    <w:p w14:paraId="13CBF13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401558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361" w:right="1644" w:bottom="1361" w:left="164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F1F3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856014">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856014">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DDD1CD0"/>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ECD0A2A"/>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9FA0E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2231</Words>
  <Characters>2450</Characters>
  <Lines>0</Lines>
  <Paragraphs>0</Paragraphs>
  <TotalTime>2</TotalTime>
  <ScaleCrop>false</ScaleCrop>
  <LinksUpToDate>false</LinksUpToDate>
  <CharactersWithSpaces>2760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2026-01-19T08:53:42Z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