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738C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7B9F80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D09E7D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49</w:t>
      </w:r>
      <w:r>
        <w:rPr>
          <w:rFonts w:hint="eastAsia" w:ascii="仿宋_GB2312" w:hAnsi="宋体" w:eastAsia="仿宋_GB2312" w:cs="宋体"/>
          <w:kern w:val="0"/>
          <w:sz w:val="30"/>
          <w:szCs w:val="30"/>
          <w:highlight w:val="none"/>
          <w:u w:val="none"/>
        </w:rPr>
        <w:t>号</w:t>
      </w:r>
    </w:p>
    <w:p w14:paraId="0781990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142A05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6FD5EF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604AC5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03BA20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F11F6C5">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2026年3月3日，我局执法人员对你单位位于</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u w:val="none"/>
        </w:rPr>
        <w:t>的经营场所进行执法检查，检查发现</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正常经营，主要从事食用植物油加工，生产经营过程中有一般工业固体废物废皂角产生。</w:t>
      </w:r>
    </w:p>
    <w:p w14:paraId="6726B522">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根据生态环境部《固体废物</w:t>
      </w:r>
      <w:bookmarkStart w:id="2" w:name="_GoBack"/>
      <w:bookmarkEnd w:id="2"/>
      <w:r>
        <w:rPr>
          <w:rFonts w:hint="eastAsia" w:ascii="仿宋_GB2312" w:hAnsi="宋体" w:eastAsia="仿宋_GB2312" w:cs="宋体"/>
          <w:kern w:val="0"/>
          <w:sz w:val="28"/>
          <w:szCs w:val="28"/>
          <w:highlight w:val="none"/>
          <w:u w:val="none"/>
        </w:rPr>
        <w:t>分类与代码目录》（公告 2024年第4号）中“废物种类：SW13食品残渣、行业来源：植物油加工、废物代码：133-002-S13、固体废物名称：废皂脚。植物油加工过程中在脱胶脱酸工段中产生的废皂脚。”经核查固体废物管理系统，</w:t>
      </w: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在转移一般工业固体废物填写转移联单时，废物名称为植物油加工过程产生的废白土、废皂脚，数量填写的为废白土重量，未将废皂角重量一同填入转移数量中。</w:t>
      </w:r>
    </w:p>
    <w:p w14:paraId="7C03824F">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default" w:ascii="仿宋_GB2312" w:hAnsi="宋体" w:eastAsia="仿宋_GB2312" w:cs="宋体"/>
          <w:kern w:val="0"/>
          <w:sz w:val="28"/>
          <w:szCs w:val="28"/>
          <w:highlight w:val="none"/>
          <w:u w:val="none"/>
        </w:rPr>
        <w:t>你单位</w:t>
      </w:r>
      <w:r>
        <w:rPr>
          <w:rFonts w:hint="eastAsia" w:ascii="仿宋_GB2312" w:hAnsi="宋体" w:eastAsia="仿宋_GB2312" w:cs="宋体"/>
          <w:kern w:val="0"/>
          <w:sz w:val="28"/>
          <w:szCs w:val="28"/>
          <w:highlight w:val="none"/>
          <w:u w:val="none"/>
        </w:rPr>
        <w:t>存在转移一般工业固体废物，未按照规定填报一般工业固体废物转移联单的环境违法行为。</w:t>
      </w:r>
    </w:p>
    <w:p w14:paraId="51FCBCA0">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以上事实，主要有以下证据材料证明：</w:t>
      </w:r>
    </w:p>
    <w:p w14:paraId="72000B44">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1、</w:t>
      </w:r>
      <w:bookmarkStart w:id="0" w:name="_Hlk155166315"/>
      <w:r>
        <w:rPr>
          <w:rFonts w:hint="default" w:ascii="仿宋_GB2312" w:hAnsi="宋体" w:eastAsia="仿宋_GB2312" w:cs="宋体"/>
          <w:kern w:val="0"/>
          <w:sz w:val="28"/>
          <w:szCs w:val="28"/>
          <w:highlight w:val="none"/>
          <w:u w:val="none"/>
        </w:rPr>
        <w:t>2026年3月3日</w:t>
      </w:r>
      <w:r>
        <w:rPr>
          <w:rFonts w:hint="eastAsia" w:ascii="仿宋_GB2312" w:hAnsi="宋体" w:eastAsia="仿宋_GB2312" w:cs="宋体"/>
          <w:kern w:val="0"/>
          <w:sz w:val="28"/>
          <w:szCs w:val="28"/>
          <w:highlight w:val="none"/>
          <w:u w:val="none"/>
        </w:rPr>
        <w:t>我局执法人员制作的现场检查（勘察）笔录</w:t>
      </w:r>
      <w:bookmarkEnd w:id="0"/>
      <w:r>
        <w:rPr>
          <w:rFonts w:hint="eastAsia" w:ascii="仿宋_GB2312" w:hAnsi="宋体" w:eastAsia="仿宋_GB2312" w:cs="宋体"/>
          <w:kern w:val="0"/>
          <w:sz w:val="28"/>
          <w:szCs w:val="28"/>
          <w:highlight w:val="none"/>
          <w:u w:val="none"/>
          <w:lang w:eastAsia="zh-CN"/>
        </w:rPr>
        <w:t>、</w:t>
      </w:r>
      <w:r>
        <w:rPr>
          <w:rFonts w:hint="default" w:ascii="仿宋_GB2312" w:hAnsi="宋体" w:eastAsia="仿宋_GB2312" w:cs="宋体"/>
          <w:kern w:val="0"/>
          <w:sz w:val="28"/>
          <w:szCs w:val="28"/>
          <w:highlight w:val="none"/>
          <w:u w:val="none"/>
        </w:rPr>
        <w:t>2026年3月6日</w:t>
      </w:r>
      <w:r>
        <w:rPr>
          <w:rFonts w:hint="eastAsia" w:ascii="仿宋_GB2312" w:hAnsi="宋体" w:eastAsia="仿宋_GB2312" w:cs="宋体"/>
          <w:kern w:val="0"/>
          <w:sz w:val="28"/>
          <w:szCs w:val="28"/>
          <w:highlight w:val="none"/>
          <w:u w:val="none"/>
        </w:rPr>
        <w:t>我局执法人员制作的</w:t>
      </w:r>
      <w:r>
        <w:rPr>
          <w:rFonts w:hint="eastAsia" w:ascii="仿宋_GB2312" w:hAnsi="宋体" w:eastAsia="仿宋_GB2312" w:cs="宋体"/>
          <w:kern w:val="0"/>
          <w:sz w:val="28"/>
          <w:szCs w:val="28"/>
          <w:highlight w:val="none"/>
          <w:u w:val="none"/>
          <w:lang w:val="en-US" w:eastAsia="zh-CN"/>
        </w:rPr>
        <w:t>调查询问笔录</w:t>
      </w:r>
      <w:r>
        <w:rPr>
          <w:rFonts w:hint="default" w:ascii="仿宋_GB2312" w:hAnsi="宋体" w:eastAsia="仿宋_GB2312" w:cs="宋体"/>
          <w:kern w:val="0"/>
          <w:sz w:val="28"/>
          <w:szCs w:val="28"/>
          <w:highlight w:val="none"/>
          <w:u w:val="none"/>
          <w:lang w:eastAsia="zh-CN"/>
        </w:rPr>
        <w:t>，</w:t>
      </w:r>
      <w:r>
        <w:rPr>
          <w:rFonts w:hint="eastAsia" w:ascii="仿宋_GB2312" w:hAnsi="宋体" w:eastAsia="仿宋_GB2312" w:cs="宋体"/>
          <w:kern w:val="0"/>
          <w:sz w:val="28"/>
          <w:szCs w:val="28"/>
          <w:highlight w:val="none"/>
          <w:u w:val="none"/>
        </w:rPr>
        <w:t>证明我局执法人员的执法检查、调查情况；</w:t>
      </w:r>
    </w:p>
    <w:p w14:paraId="708C40AA">
      <w:pPr>
        <w:keepNext w:val="0"/>
        <w:keepLines w:val="0"/>
        <w:pageBreakBefore w:val="0"/>
        <w:kinsoku/>
        <w:wordWrap/>
        <w:overflowPunct/>
        <w:topLinePunct w:val="0"/>
        <w:autoSpaceDE w:val="0"/>
        <w:autoSpaceDN w:val="0"/>
        <w:bidi w:val="0"/>
        <w:adjustRightInd w:val="0"/>
        <w:snapToGrid w:val="0"/>
        <w:spacing w:line="44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2、</w:t>
      </w:r>
      <w:r>
        <w:rPr>
          <w:rFonts w:hint="default" w:ascii="仿宋_GB2312" w:hAnsi="宋体" w:eastAsia="仿宋_GB2312" w:cs="宋体"/>
          <w:kern w:val="0"/>
          <w:sz w:val="28"/>
          <w:szCs w:val="28"/>
          <w:highlight w:val="none"/>
          <w:u w:val="none"/>
        </w:rPr>
        <w:t>2026年3月3日</w:t>
      </w:r>
      <w:r>
        <w:rPr>
          <w:rFonts w:hint="eastAsia" w:ascii="仿宋_GB2312" w:hAnsi="宋体" w:eastAsia="仿宋_GB2312" w:cs="宋体"/>
          <w:kern w:val="0"/>
          <w:sz w:val="28"/>
          <w:szCs w:val="28"/>
          <w:highlight w:val="none"/>
          <w:u w:val="none"/>
        </w:rPr>
        <w:t>我局执法人员制作的现场照片（视频），</w:t>
      </w:r>
      <w:r>
        <w:rPr>
          <w:rFonts w:hint="default" w:ascii="仿宋_GB2312" w:hAnsi="宋体" w:eastAsia="仿宋_GB2312" w:cs="宋体"/>
          <w:kern w:val="0"/>
          <w:sz w:val="28"/>
          <w:szCs w:val="28"/>
          <w:highlight w:val="none"/>
          <w:u w:val="none"/>
        </w:rPr>
        <w:t>2026年3月6日我局执法人员制作的</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lang w:eastAsia="zh-CN"/>
        </w:rPr>
        <w:t>固体废物管理系统转移联单台账，2026年3月6日你单位提供的皂角转移台账、废白土转移台账、工业固体废物管理台账，</w:t>
      </w:r>
      <w:r>
        <w:rPr>
          <w:rFonts w:hint="default" w:ascii="仿宋_GB2312" w:hAnsi="宋体" w:eastAsia="仿宋_GB2312" w:cs="宋体"/>
          <w:kern w:val="0"/>
          <w:sz w:val="28"/>
          <w:szCs w:val="28"/>
          <w:highlight w:val="none"/>
          <w:u w:val="none"/>
        </w:rPr>
        <w:t>证明</w:t>
      </w:r>
      <w:r>
        <w:rPr>
          <w:rFonts w:hint="default" w:ascii="仿宋_GB2312" w:hAnsi="仿宋_GB2312" w:eastAsia="仿宋_GB2312" w:cs="仿宋_GB2312"/>
          <w:color w:val="auto"/>
          <w:sz w:val="28"/>
          <w:szCs w:val="28"/>
          <w:highlight w:val="none"/>
        </w:rPr>
        <w:t>经核查固体废物管理系统，</w:t>
      </w:r>
      <w:r>
        <w:rPr>
          <w:rFonts w:hint="eastAsia" w:ascii="仿宋_GB2312" w:hAnsi="宋体" w:eastAsia="仿宋_GB2312" w:cs="宋体"/>
          <w:kern w:val="0"/>
          <w:sz w:val="28"/>
          <w:szCs w:val="28"/>
          <w:highlight w:val="none"/>
          <w:u w:val="none"/>
        </w:rPr>
        <w:t>你单位</w:t>
      </w:r>
      <w:r>
        <w:rPr>
          <w:rFonts w:hint="default" w:ascii="仿宋_GB2312" w:hAnsi="仿宋_GB2312" w:eastAsia="仿宋_GB2312" w:cs="仿宋_GB2312"/>
          <w:color w:val="auto"/>
          <w:sz w:val="28"/>
          <w:szCs w:val="28"/>
          <w:highlight w:val="none"/>
        </w:rPr>
        <w:t>在转移一般工业固体废物填写转移联单时，废物名称为植物油加工过程产生的废白土、废皂脚，数量填写的为废白土重量，未将废皂角重量一同填入转移数量中，</w:t>
      </w:r>
      <w:r>
        <w:rPr>
          <w:rFonts w:hint="default" w:ascii="仿宋_GB2312" w:hAnsi="宋体" w:eastAsia="仿宋_GB2312" w:cs="Times New Roman"/>
          <w:color w:val="auto"/>
          <w:kern w:val="2"/>
          <w:sz w:val="28"/>
          <w:szCs w:val="28"/>
          <w:highlight w:val="none"/>
          <w:lang w:eastAsia="zh-CN"/>
        </w:rPr>
        <w:t>你单位</w:t>
      </w:r>
      <w:r>
        <w:rPr>
          <w:rFonts w:hint="eastAsia" w:ascii="仿宋_GB2312" w:hAnsi="宋体" w:eastAsia="仿宋_GB2312" w:cs="宋体"/>
          <w:kern w:val="0"/>
          <w:sz w:val="28"/>
          <w:szCs w:val="28"/>
          <w:highlight w:val="none"/>
          <w:u w:val="none"/>
        </w:rPr>
        <w:t>存在转移一般工业固体废物，未按照规定填报一般工业固体废物转移联单的环境违法行为</w:t>
      </w:r>
      <w:r>
        <w:rPr>
          <w:rFonts w:hint="eastAsia" w:ascii="仿宋_GB2312" w:hAnsi="宋体" w:eastAsia="仿宋_GB2312" w:cs="Times New Roman"/>
          <w:color w:val="auto"/>
          <w:kern w:val="2"/>
          <w:sz w:val="28"/>
          <w:szCs w:val="28"/>
          <w:highlight w:val="none"/>
        </w:rPr>
        <w:t>；</w:t>
      </w:r>
    </w:p>
    <w:p w14:paraId="7000C348">
      <w:pPr>
        <w:keepNext w:val="0"/>
        <w:keepLines w:val="0"/>
        <w:pageBreakBefore w:val="0"/>
        <w:widowControl w:val="0"/>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3、</w:t>
      </w:r>
      <w:r>
        <w:rPr>
          <w:rFonts w:hint="default" w:ascii="仿宋_GB2312" w:hAnsi="宋体" w:eastAsia="仿宋_GB2312" w:cs="宋体"/>
          <w:kern w:val="0"/>
          <w:sz w:val="28"/>
          <w:szCs w:val="28"/>
          <w:highlight w:val="none"/>
          <w:u w:val="none"/>
        </w:rPr>
        <w:t>2026年3月3日</w:t>
      </w:r>
      <w:r>
        <w:rPr>
          <w:rFonts w:hint="eastAsia" w:ascii="仿宋_GB2312" w:hAnsi="宋体" w:eastAsia="仿宋_GB2312" w:cs="Times New Roman"/>
          <w:color w:val="auto"/>
          <w:kern w:val="2"/>
          <w:sz w:val="28"/>
          <w:szCs w:val="28"/>
          <w:highlight w:val="none"/>
        </w:rPr>
        <w:t>你单位提供的营业执照复印件、法定代表人身份证明书、身份证复印件、授权委托书</w:t>
      </w:r>
      <w:r>
        <w:rPr>
          <w:rFonts w:hint="eastAsia" w:ascii="仿宋_GB2312" w:hAnsi="宋体" w:eastAsia="仿宋_GB2312" w:cs="宋体"/>
          <w:kern w:val="0"/>
          <w:sz w:val="28"/>
          <w:szCs w:val="28"/>
          <w:highlight w:val="none"/>
          <w:u w:val="none"/>
        </w:rPr>
        <w:t>，证明你单位的主体适格；</w:t>
      </w:r>
    </w:p>
    <w:p w14:paraId="1CD1B5E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4、执法人员执法证复印件，证明执法人员身份合法。</w:t>
      </w:r>
    </w:p>
    <w:p w14:paraId="46D78E56">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lang w:val="en-US" w:eastAsia="zh-CN"/>
        </w:rPr>
      </w:pPr>
      <w:r>
        <w:rPr>
          <w:rFonts w:hint="eastAsia" w:ascii="仿宋_GB2312" w:hAnsi="仿宋_GB2312" w:eastAsia="仿宋_GB2312" w:cs="仿宋_GB2312"/>
          <w:sz w:val="28"/>
          <w:szCs w:val="28"/>
          <w:highlight w:val="none"/>
          <w:u w:val="none"/>
          <w:lang w:val="en-US" w:eastAsia="zh-CN"/>
        </w:rPr>
        <w:t>你单位上述行为违反了</w:t>
      </w:r>
      <w:r>
        <w:rPr>
          <w:rFonts w:hint="eastAsia" w:ascii="仿宋_GB2312" w:hAnsi="仿宋_GB2312" w:eastAsia="仿宋_GB2312" w:cs="仿宋_GB2312"/>
          <w:color w:val="auto"/>
          <w:sz w:val="28"/>
          <w:szCs w:val="28"/>
          <w:highlight w:val="none"/>
          <w:lang w:eastAsia="zh-CN"/>
        </w:rPr>
        <w:t>《深圳经济特区</w:t>
      </w:r>
      <w:r>
        <w:rPr>
          <w:rFonts w:hint="default" w:ascii="仿宋_GB2312" w:hAnsi="仿宋_GB2312" w:eastAsia="仿宋_GB2312" w:cs="仿宋_GB2312"/>
          <w:color w:val="auto"/>
          <w:sz w:val="28"/>
          <w:szCs w:val="28"/>
          <w:highlight w:val="none"/>
          <w:lang w:eastAsia="zh-CN"/>
        </w:rPr>
        <w:t>生态环境保护</w:t>
      </w:r>
      <w:r>
        <w:rPr>
          <w:rFonts w:hint="eastAsia" w:ascii="仿宋_GB2312" w:hAnsi="仿宋_GB2312" w:eastAsia="仿宋_GB2312" w:cs="仿宋_GB2312"/>
          <w:color w:val="auto"/>
          <w:sz w:val="28"/>
          <w:szCs w:val="28"/>
          <w:highlight w:val="none"/>
          <w:lang w:eastAsia="zh-CN"/>
        </w:rPr>
        <w:t>条例》第</w:t>
      </w:r>
      <w:r>
        <w:rPr>
          <w:rFonts w:hint="default" w:ascii="仿宋_GB2312" w:hAnsi="仿宋_GB2312" w:eastAsia="仿宋_GB2312" w:cs="仿宋_GB2312"/>
          <w:color w:val="auto"/>
          <w:sz w:val="28"/>
          <w:szCs w:val="28"/>
          <w:highlight w:val="none"/>
          <w:lang w:eastAsia="zh-CN"/>
        </w:rPr>
        <w:t>七十九</w:t>
      </w:r>
      <w:r>
        <w:rPr>
          <w:rFonts w:hint="eastAsia" w:ascii="仿宋_GB2312" w:hAnsi="仿宋_GB2312" w:eastAsia="仿宋_GB2312" w:cs="仿宋_GB2312"/>
          <w:color w:val="auto"/>
          <w:sz w:val="28"/>
          <w:szCs w:val="28"/>
          <w:highlight w:val="none"/>
          <w:lang w:eastAsia="zh-CN"/>
        </w:rPr>
        <w:t>条第</w:t>
      </w:r>
      <w:r>
        <w:rPr>
          <w:rFonts w:hint="default" w:ascii="仿宋_GB2312" w:hAnsi="仿宋_GB2312" w:eastAsia="仿宋_GB2312" w:cs="仿宋_GB2312"/>
          <w:color w:val="auto"/>
          <w:sz w:val="28"/>
          <w:szCs w:val="28"/>
          <w:highlight w:val="none"/>
          <w:lang w:eastAsia="zh-CN"/>
        </w:rPr>
        <w:t>二</w:t>
      </w:r>
      <w:r>
        <w:rPr>
          <w:rFonts w:hint="eastAsia" w:ascii="仿宋_GB2312" w:hAnsi="仿宋_GB2312" w:eastAsia="仿宋_GB2312" w:cs="仿宋_GB2312"/>
          <w:color w:val="auto"/>
          <w:sz w:val="28"/>
          <w:szCs w:val="28"/>
          <w:highlight w:val="none"/>
          <w:lang w:eastAsia="zh-CN"/>
        </w:rPr>
        <w:t>款</w:t>
      </w:r>
      <w:r>
        <w:rPr>
          <w:rFonts w:hint="eastAsia" w:ascii="仿宋_GB2312" w:hAnsi="仿宋_GB2312" w:eastAsia="仿宋_GB2312" w:cs="仿宋_GB2312"/>
          <w:sz w:val="28"/>
          <w:szCs w:val="28"/>
          <w:highlight w:val="none"/>
          <w:u w:val="none"/>
          <w:lang w:val="en-US" w:eastAsia="zh-CN"/>
        </w:rPr>
        <w:t>“转移一般工业固体废物的，应当按照规定填报一般工业固体废物转移联单。纳入转移联单管理的一般工业固体废物种类由市生态环境部门确定并公布”的规定。</w:t>
      </w:r>
    </w:p>
    <w:p w14:paraId="13892CD5">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r>
        <w:rPr>
          <w:rFonts w:hint="eastAsia" w:ascii="仿宋_GB2312" w:hAnsi="仿宋_GB2312" w:eastAsia="仿宋_GB2312" w:cs="仿宋_GB2312"/>
          <w:sz w:val="28"/>
          <w:szCs w:val="28"/>
          <w:highlight w:val="none"/>
          <w:u w:val="none"/>
        </w:rPr>
        <w:t>依据《中华人民共和国行政处罚法》第二十八条第一款“行政机关实施行政处罚时，应当责令当事人改正或者限期改正违法行为”和</w:t>
      </w:r>
      <w:r>
        <w:rPr>
          <w:rFonts w:hint="eastAsia" w:ascii="仿宋_GB2312" w:hAnsi="仿宋_GB2312" w:eastAsia="仿宋_GB2312" w:cs="仿宋_GB2312"/>
          <w:color w:val="auto"/>
          <w:sz w:val="28"/>
          <w:szCs w:val="28"/>
          <w:highlight w:val="none"/>
          <w:lang w:eastAsia="zh-CN"/>
        </w:rPr>
        <w:t>《深圳经济特区</w:t>
      </w:r>
      <w:r>
        <w:rPr>
          <w:rFonts w:hint="default" w:ascii="仿宋_GB2312" w:hAnsi="仿宋_GB2312" w:eastAsia="仿宋_GB2312" w:cs="仿宋_GB2312"/>
          <w:color w:val="auto"/>
          <w:sz w:val="28"/>
          <w:szCs w:val="28"/>
          <w:highlight w:val="none"/>
          <w:lang w:eastAsia="zh-CN"/>
        </w:rPr>
        <w:t>生态环境保护</w:t>
      </w:r>
      <w:r>
        <w:rPr>
          <w:rFonts w:hint="eastAsia" w:ascii="仿宋_GB2312" w:hAnsi="仿宋_GB2312" w:eastAsia="仿宋_GB2312" w:cs="仿宋_GB2312"/>
          <w:color w:val="auto"/>
          <w:sz w:val="28"/>
          <w:szCs w:val="28"/>
          <w:highlight w:val="none"/>
          <w:lang w:eastAsia="zh-CN"/>
        </w:rPr>
        <w:t>条例》第</w:t>
      </w:r>
      <w:r>
        <w:rPr>
          <w:rFonts w:hint="default" w:ascii="仿宋_GB2312" w:hAnsi="仿宋_GB2312" w:eastAsia="仿宋_GB2312" w:cs="仿宋_GB2312"/>
          <w:color w:val="auto"/>
          <w:sz w:val="28"/>
          <w:szCs w:val="28"/>
          <w:highlight w:val="none"/>
          <w:lang w:eastAsia="zh-CN"/>
        </w:rPr>
        <w:t>一百三十六</w:t>
      </w:r>
      <w:r>
        <w:rPr>
          <w:rFonts w:hint="eastAsia" w:ascii="仿宋_GB2312" w:hAnsi="仿宋_GB2312" w:eastAsia="仿宋_GB2312" w:cs="仿宋_GB2312"/>
          <w:color w:val="auto"/>
          <w:sz w:val="28"/>
          <w:szCs w:val="28"/>
          <w:highlight w:val="none"/>
          <w:lang w:eastAsia="zh-CN"/>
        </w:rPr>
        <w:t>条第</w:t>
      </w:r>
      <w:r>
        <w:rPr>
          <w:rFonts w:hint="default" w:ascii="仿宋_GB2312" w:hAnsi="仿宋_GB2312" w:eastAsia="仿宋_GB2312" w:cs="仿宋_GB2312"/>
          <w:color w:val="auto"/>
          <w:sz w:val="28"/>
          <w:szCs w:val="28"/>
          <w:highlight w:val="none"/>
          <w:lang w:eastAsia="zh-CN"/>
        </w:rPr>
        <w:t>十四</w:t>
      </w:r>
      <w:r>
        <w:rPr>
          <w:rFonts w:hint="eastAsia" w:ascii="仿宋_GB2312" w:hAnsi="仿宋_GB2312" w:eastAsia="仿宋_GB2312" w:cs="仿宋_GB2312"/>
          <w:color w:val="auto"/>
          <w:sz w:val="28"/>
          <w:szCs w:val="28"/>
          <w:highlight w:val="none"/>
          <w:lang w:eastAsia="zh-CN"/>
        </w:rPr>
        <w:t>项</w:t>
      </w:r>
      <w:r>
        <w:rPr>
          <w:rFonts w:hint="eastAsia" w:ascii="仿宋_GB2312" w:hAnsi="仿宋_GB2312" w:eastAsia="仿宋_GB2312" w:cs="仿宋_GB2312"/>
          <w:sz w:val="28"/>
          <w:szCs w:val="28"/>
          <w:highlight w:val="none"/>
          <w:u w:val="none"/>
          <w:lang w:eastAsia="zh-CN"/>
        </w:rPr>
        <w:t>“相关单位有下列行为之一的，由市生态环境部门责令改正，并按照下列规定给予处罚：</w:t>
      </w:r>
      <w:r>
        <w:rPr>
          <w:rFonts w:hint="default" w:ascii="仿宋_GB2312" w:hAnsi="仿宋_GB2312" w:eastAsia="仿宋_GB2312" w:cs="仿宋_GB2312"/>
          <w:sz w:val="28"/>
          <w:szCs w:val="28"/>
          <w:highlight w:val="none"/>
          <w:u w:val="none"/>
          <w:lang w:eastAsia="zh-CN"/>
        </w:rPr>
        <w:t>（十四）</w:t>
      </w:r>
      <w:r>
        <w:rPr>
          <w:rFonts w:hint="eastAsia" w:ascii="仿宋_GB2312" w:hAnsi="仿宋_GB2312" w:eastAsia="仿宋_GB2312" w:cs="仿宋_GB2312"/>
          <w:sz w:val="28"/>
          <w:szCs w:val="28"/>
          <w:highlight w:val="none"/>
          <w:u w:val="none"/>
          <w:lang w:eastAsia="zh-CN"/>
        </w:rPr>
        <w:t>违反本条例第七十九条第二款规定，转移一般工业固体废物，未按照规定填报一般工业固体废物转移联单，拒不改正的，处三万元罚款”</w:t>
      </w:r>
      <w:r>
        <w:rPr>
          <w:rFonts w:hint="eastAsia" w:ascii="仿宋_GB2312" w:hAnsi="仿宋_GB2312" w:eastAsia="仿宋_GB2312" w:cs="仿宋_GB2312"/>
          <w:sz w:val="28"/>
          <w:szCs w:val="28"/>
          <w:highlight w:val="none"/>
          <w:u w:val="none"/>
        </w:rPr>
        <w:t>的规定，现责令你单位限期</w:t>
      </w:r>
      <w:bookmarkStart w:id="1" w:name="OLE_LINK1"/>
      <w:r>
        <w:rPr>
          <w:rFonts w:hint="eastAsia" w:ascii="仿宋_GB2312" w:hAnsi="仿宋_GB2312" w:eastAsia="仿宋_GB2312" w:cs="仿宋_GB2312"/>
          <w:sz w:val="28"/>
          <w:szCs w:val="28"/>
          <w:highlight w:val="none"/>
          <w:u w:val="none"/>
        </w:rPr>
        <w:t>七天内</w:t>
      </w:r>
      <w:bookmarkEnd w:id="1"/>
      <w:r>
        <w:rPr>
          <w:rFonts w:hint="eastAsia" w:ascii="仿宋_GB2312" w:hAnsi="仿宋_GB2312" w:eastAsia="仿宋_GB2312" w:cs="仿宋_GB2312"/>
          <w:sz w:val="28"/>
          <w:szCs w:val="28"/>
          <w:highlight w:val="none"/>
          <w:u w:val="none"/>
        </w:rPr>
        <w:t>改正</w:t>
      </w:r>
      <w:r>
        <w:rPr>
          <w:rFonts w:hint="eastAsia" w:ascii="仿宋_GB2312" w:hAnsi="宋体" w:eastAsia="仿宋_GB2312" w:cs="宋体"/>
          <w:kern w:val="0"/>
          <w:sz w:val="28"/>
          <w:szCs w:val="28"/>
          <w:highlight w:val="none"/>
          <w:u w:val="none"/>
        </w:rPr>
        <w:t>转移一般工业固体废物，未按照规定填报一般工业固体废物转移联单的环境违法行</w:t>
      </w:r>
      <w:r>
        <w:rPr>
          <w:rFonts w:hint="eastAsia" w:ascii="仿宋_GB2312" w:hAnsi="仿宋_GB2312" w:eastAsia="仿宋_GB2312" w:cs="仿宋_GB2312"/>
          <w:sz w:val="28"/>
          <w:szCs w:val="28"/>
          <w:highlight w:val="none"/>
          <w:u w:val="none"/>
        </w:rPr>
        <w:t>。</w:t>
      </w:r>
    </w:p>
    <w:p w14:paraId="0515122C">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r>
        <w:rPr>
          <w:rFonts w:hint="eastAsia" w:ascii="仿宋_GB2312" w:hAnsi="仿宋_GB2312" w:eastAsia="仿宋_GB2312" w:cs="仿宋_GB2312"/>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仿宋_GB2312" w:eastAsia="仿宋_GB2312" w:cs="仿宋_GB2312"/>
          <w:color w:val="auto"/>
          <w:sz w:val="28"/>
          <w:szCs w:val="28"/>
          <w:highlight w:val="none"/>
          <w:lang w:eastAsia="zh-CN"/>
        </w:rPr>
        <w:t>《深圳经济特区</w:t>
      </w:r>
      <w:r>
        <w:rPr>
          <w:rFonts w:hint="default" w:ascii="仿宋_GB2312" w:hAnsi="仿宋_GB2312" w:eastAsia="仿宋_GB2312" w:cs="仿宋_GB2312"/>
          <w:color w:val="auto"/>
          <w:sz w:val="28"/>
          <w:szCs w:val="28"/>
          <w:highlight w:val="none"/>
          <w:lang w:eastAsia="zh-CN"/>
        </w:rPr>
        <w:t>生态环境保护</w:t>
      </w:r>
      <w:r>
        <w:rPr>
          <w:rFonts w:hint="eastAsia" w:ascii="仿宋_GB2312" w:hAnsi="仿宋_GB2312" w:eastAsia="仿宋_GB2312" w:cs="仿宋_GB2312"/>
          <w:color w:val="auto"/>
          <w:sz w:val="28"/>
          <w:szCs w:val="28"/>
          <w:highlight w:val="none"/>
          <w:lang w:eastAsia="zh-CN"/>
        </w:rPr>
        <w:t>条例》第</w:t>
      </w:r>
      <w:r>
        <w:rPr>
          <w:rFonts w:hint="default" w:ascii="仿宋_GB2312" w:hAnsi="仿宋_GB2312" w:eastAsia="仿宋_GB2312" w:cs="仿宋_GB2312"/>
          <w:color w:val="auto"/>
          <w:sz w:val="28"/>
          <w:szCs w:val="28"/>
          <w:highlight w:val="none"/>
          <w:lang w:eastAsia="zh-CN"/>
        </w:rPr>
        <w:t>一百三十六</w:t>
      </w:r>
      <w:r>
        <w:rPr>
          <w:rFonts w:hint="eastAsia" w:ascii="仿宋_GB2312" w:hAnsi="仿宋_GB2312" w:eastAsia="仿宋_GB2312" w:cs="仿宋_GB2312"/>
          <w:color w:val="auto"/>
          <w:sz w:val="28"/>
          <w:szCs w:val="28"/>
          <w:highlight w:val="none"/>
          <w:lang w:eastAsia="zh-CN"/>
        </w:rPr>
        <w:t>条第</w:t>
      </w:r>
      <w:r>
        <w:rPr>
          <w:rFonts w:hint="default" w:ascii="仿宋_GB2312" w:hAnsi="仿宋_GB2312" w:eastAsia="仿宋_GB2312" w:cs="仿宋_GB2312"/>
          <w:color w:val="auto"/>
          <w:sz w:val="28"/>
          <w:szCs w:val="28"/>
          <w:highlight w:val="none"/>
          <w:lang w:eastAsia="zh-CN"/>
        </w:rPr>
        <w:t>十四</w:t>
      </w:r>
      <w:r>
        <w:rPr>
          <w:rFonts w:hint="eastAsia" w:ascii="仿宋_GB2312" w:hAnsi="仿宋_GB2312" w:eastAsia="仿宋_GB2312" w:cs="仿宋_GB2312"/>
          <w:color w:val="auto"/>
          <w:sz w:val="28"/>
          <w:szCs w:val="28"/>
          <w:highlight w:val="none"/>
          <w:lang w:eastAsia="zh-CN"/>
        </w:rPr>
        <w:t>项</w:t>
      </w:r>
      <w:r>
        <w:rPr>
          <w:rFonts w:hint="eastAsia" w:ascii="仿宋_GB2312" w:hAnsi="仿宋_GB2312" w:eastAsia="仿宋_GB2312" w:cs="仿宋_GB2312"/>
          <w:sz w:val="28"/>
          <w:szCs w:val="28"/>
          <w:highlight w:val="none"/>
          <w:u w:val="none"/>
        </w:rPr>
        <w:t>“拒不改正的，处三万元罚款”的规定，依法采取法律赋予生态环境部门的监管措施。</w:t>
      </w:r>
    </w:p>
    <w:p w14:paraId="3FBF74C8">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r>
        <w:rPr>
          <w:rFonts w:hint="eastAsia" w:ascii="仿宋_GB2312" w:hAnsi="仿宋_GB2312" w:eastAsia="仿宋_GB2312" w:cs="仿宋_GB2312"/>
          <w:sz w:val="28"/>
          <w:szCs w:val="28"/>
          <w:highlight w:val="none"/>
          <w:u w:val="none"/>
        </w:rPr>
        <w:t>你单位在我局实施复查前，可以向我局报告整改情况，并附具相关证明材料。</w:t>
      </w:r>
    </w:p>
    <w:p w14:paraId="257FA07E">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r>
        <w:rPr>
          <w:rFonts w:hint="eastAsia" w:ascii="仿宋_GB2312" w:hAnsi="仿宋_GB2312" w:eastAsia="仿宋_GB2312" w:cs="仿宋_GB2312"/>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4C280CC1">
      <w:pPr>
        <w:pStyle w:val="2"/>
        <w:keepNext w:val="0"/>
        <w:keepLines w:val="0"/>
        <w:pageBreakBefore w:val="0"/>
        <w:kinsoku/>
        <w:wordWrap/>
        <w:overflowPunct/>
        <w:topLinePunct w:val="0"/>
        <w:bidi w:val="0"/>
        <w:snapToGrid w:val="0"/>
        <w:spacing w:line="440" w:lineRule="exact"/>
        <w:textAlignment w:val="auto"/>
        <w:rPr>
          <w:rFonts w:hint="eastAsia" w:ascii="仿宋_GB2312" w:hAnsi="仿宋_GB2312" w:eastAsia="仿宋_GB2312" w:cs="仿宋_GB2312"/>
          <w:sz w:val="28"/>
          <w:szCs w:val="28"/>
          <w:highlight w:val="none"/>
          <w:u w:val="none"/>
        </w:rPr>
      </w:pPr>
    </w:p>
    <w:p w14:paraId="3E6DB6DC">
      <w:pPr>
        <w:keepNext w:val="0"/>
        <w:keepLines w:val="0"/>
        <w:pageBreakBefore w:val="0"/>
        <w:kinsoku/>
        <w:wordWrap/>
        <w:overflowPunct/>
        <w:topLinePunct w:val="0"/>
        <w:autoSpaceDE w:val="0"/>
        <w:autoSpaceDN w:val="0"/>
        <w:bidi w:val="0"/>
        <w:adjustRightInd w:val="0"/>
        <w:snapToGrid w:val="0"/>
        <w:spacing w:line="440" w:lineRule="exact"/>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rPr>
        <w:t>余城德</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14:paraId="5057FF29">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4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14:paraId="289FE11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 xml:space="preserve"> </w:t>
      </w:r>
      <w:r>
        <w:rPr>
          <w:rFonts w:hint="eastAsia" w:ascii="仿宋_GB2312" w:eastAsia="仿宋_GB2312"/>
          <w:sz w:val="28"/>
          <w:szCs w:val="28"/>
          <w:highlight w:val="none"/>
          <w:u w:val="none"/>
          <w:lang w:val="en-US" w:eastAsia="zh-CN"/>
        </w:rPr>
        <w:t xml:space="preserve">              </w:t>
      </w:r>
      <w:r>
        <w:rPr>
          <w:rFonts w:hint="eastAsia" w:ascii="仿宋_GB2312" w:eastAsia="仿宋_GB2312"/>
          <w:sz w:val="28"/>
          <w:szCs w:val="28"/>
          <w:highlight w:val="none"/>
          <w:u w:val="none"/>
        </w:rPr>
        <w:t>202</w:t>
      </w:r>
      <w:r>
        <w:rPr>
          <w:rFonts w:hint="default" w:ascii="仿宋_GB2312" w:eastAsia="仿宋_GB2312"/>
          <w:sz w:val="28"/>
          <w:szCs w:val="28"/>
          <w:highlight w:val="none"/>
          <w:u w:val="none"/>
          <w:lang w:eastAsia="zh-CN"/>
        </w:rPr>
        <w:t>6</w:t>
      </w:r>
      <w:r>
        <w:rPr>
          <w:rFonts w:hint="eastAsia" w:ascii="仿宋_GB2312" w:eastAsia="仿宋_GB2312"/>
          <w:sz w:val="28"/>
          <w:szCs w:val="28"/>
          <w:highlight w:val="none"/>
          <w:u w:val="none"/>
        </w:rPr>
        <w:t>年</w:t>
      </w:r>
      <w:r>
        <w:rPr>
          <w:rFonts w:hint="default" w:ascii="仿宋_GB2312" w:eastAsia="仿宋_GB2312"/>
          <w:sz w:val="28"/>
          <w:szCs w:val="28"/>
          <w:highlight w:val="none"/>
          <w:u w:val="none"/>
          <w:lang w:eastAsia="zh-CN"/>
        </w:rPr>
        <w:t>4</w:t>
      </w:r>
      <w:r>
        <w:rPr>
          <w:rFonts w:hint="eastAsia" w:ascii="仿宋_GB2312" w:eastAsia="仿宋_GB2312"/>
          <w:sz w:val="28"/>
          <w:szCs w:val="28"/>
          <w:highlight w:val="none"/>
          <w:u w:val="none"/>
        </w:rPr>
        <w:t>月</w:t>
      </w:r>
      <w:r>
        <w:rPr>
          <w:rFonts w:hint="default" w:ascii="仿宋_GB2312" w:eastAsia="仿宋_GB2312"/>
          <w:sz w:val="28"/>
          <w:szCs w:val="28"/>
          <w:highlight w:val="none"/>
          <w:u w:val="none"/>
        </w:rPr>
        <w:t>29</w:t>
      </w:r>
      <w:r>
        <w:rPr>
          <w:rFonts w:hint="eastAsia" w:ascii="仿宋_GB2312" w:eastAsia="仿宋_GB2312"/>
          <w:sz w:val="28"/>
          <w:szCs w:val="28"/>
          <w:highlight w:val="none"/>
          <w:u w:val="none"/>
        </w:rPr>
        <w:t>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A740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AD955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AD955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33436F6"/>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 w:val="FFBFB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1413</Words>
  <Characters>1483</Characters>
  <Lines>0</Lines>
  <Paragraphs>0</Paragraphs>
  <TotalTime>1</TotalTime>
  <ScaleCrop>false</ScaleCrop>
  <LinksUpToDate>false</LinksUpToDate>
  <CharactersWithSpaces>1727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2026-05-08T02:46:23Z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