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附件</w:t>
      </w:r>
      <w:r>
        <w:rPr>
          <w:rFonts w:ascii="Times New Roman" w:hAnsi="Times New Roman" w:eastAsia="黑体" w:cs="Times New Roman"/>
          <w:color w:val="000000"/>
          <w:sz w:val="30"/>
          <w:szCs w:val="30"/>
        </w:rPr>
        <w:t>1</w:t>
      </w:r>
    </w:p>
    <w:p>
      <w:pPr>
        <w:spacing w:line="360" w:lineRule="auto"/>
        <w:jc w:val="center"/>
        <w:outlineLvl w:val="0"/>
        <w:rPr>
          <w:rFonts w:ascii="仿宋" w:hAnsi="仿宋" w:eastAsia="仿宋" w:cs="Times New Roman"/>
          <w:b/>
          <w:color w:val="000000"/>
          <w:sz w:val="36"/>
          <w:szCs w:val="32"/>
        </w:rPr>
      </w:pPr>
      <w:r>
        <w:rPr>
          <w:rFonts w:hint="eastAsia" w:ascii="仿宋" w:hAnsi="仿宋" w:eastAsia="仿宋" w:cs="Times New Roman"/>
          <w:b/>
          <w:color w:val="000000"/>
          <w:sz w:val="32"/>
          <w:szCs w:val="32"/>
        </w:rPr>
        <w:t>《深圳市建设项目环境影响报告书（表）编制监督检查办法（征求意见稿）》意见采纳情况表</w:t>
      </w:r>
    </w:p>
    <w:tbl>
      <w:tblPr>
        <w:tblStyle w:val="5"/>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4395"/>
        <w:gridCol w:w="1134"/>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4" w:type="dxa"/>
            <w:vAlign w:val="center"/>
          </w:tcPr>
          <w:p>
            <w:pPr>
              <w:jc w:val="center"/>
              <w:rPr>
                <w:rFonts w:ascii="仿宋" w:hAnsi="仿宋" w:eastAsia="仿宋"/>
                <w:szCs w:val="21"/>
              </w:rPr>
            </w:pPr>
            <w:r>
              <w:rPr>
                <w:rFonts w:hint="eastAsia" w:ascii="仿宋" w:hAnsi="仿宋" w:eastAsia="仿宋"/>
                <w:b/>
                <w:bCs/>
                <w:color w:val="000000"/>
                <w:szCs w:val="21"/>
              </w:rPr>
              <w:t>序号</w:t>
            </w:r>
          </w:p>
        </w:tc>
        <w:tc>
          <w:tcPr>
            <w:tcW w:w="992" w:type="dxa"/>
            <w:vAlign w:val="center"/>
          </w:tcPr>
          <w:p>
            <w:pPr>
              <w:jc w:val="center"/>
              <w:rPr>
                <w:rFonts w:ascii="仿宋" w:hAnsi="仿宋" w:eastAsia="仿宋"/>
                <w:szCs w:val="21"/>
              </w:rPr>
            </w:pPr>
            <w:r>
              <w:rPr>
                <w:rFonts w:hint="eastAsia" w:ascii="仿宋" w:hAnsi="仿宋" w:eastAsia="仿宋"/>
                <w:b/>
                <w:bCs/>
                <w:color w:val="000000"/>
                <w:szCs w:val="21"/>
              </w:rPr>
              <w:t>单位</w:t>
            </w:r>
          </w:p>
        </w:tc>
        <w:tc>
          <w:tcPr>
            <w:tcW w:w="4395" w:type="dxa"/>
            <w:vAlign w:val="center"/>
          </w:tcPr>
          <w:p>
            <w:pPr>
              <w:jc w:val="center"/>
              <w:rPr>
                <w:rFonts w:ascii="仿宋" w:hAnsi="仿宋" w:eastAsia="仿宋"/>
                <w:szCs w:val="21"/>
              </w:rPr>
            </w:pPr>
            <w:r>
              <w:rPr>
                <w:rFonts w:hint="eastAsia" w:ascii="仿宋" w:hAnsi="仿宋" w:eastAsia="仿宋"/>
                <w:b/>
                <w:bCs/>
                <w:color w:val="000000"/>
                <w:szCs w:val="21"/>
              </w:rPr>
              <w:t>反馈意见</w:t>
            </w:r>
          </w:p>
        </w:tc>
        <w:tc>
          <w:tcPr>
            <w:tcW w:w="1134" w:type="dxa"/>
            <w:vAlign w:val="center"/>
          </w:tcPr>
          <w:p>
            <w:pPr>
              <w:jc w:val="center"/>
              <w:rPr>
                <w:rFonts w:ascii="仿宋" w:hAnsi="仿宋" w:eastAsia="仿宋"/>
                <w:szCs w:val="21"/>
              </w:rPr>
            </w:pPr>
            <w:r>
              <w:rPr>
                <w:rFonts w:hint="eastAsia" w:ascii="仿宋" w:hAnsi="仿宋" w:eastAsia="仿宋"/>
                <w:b/>
                <w:bCs/>
                <w:color w:val="000000"/>
                <w:szCs w:val="21"/>
              </w:rPr>
              <w:t>采纳情况</w:t>
            </w:r>
          </w:p>
        </w:tc>
        <w:tc>
          <w:tcPr>
            <w:tcW w:w="6378" w:type="dxa"/>
            <w:vAlign w:val="center"/>
          </w:tcPr>
          <w:p>
            <w:pPr>
              <w:jc w:val="center"/>
              <w:rPr>
                <w:rFonts w:ascii="仿宋" w:hAnsi="仿宋" w:eastAsia="仿宋"/>
                <w:szCs w:val="21"/>
              </w:rPr>
            </w:pPr>
            <w:r>
              <w:rPr>
                <w:rFonts w:hint="eastAsia" w:ascii="仿宋" w:hAnsi="仿宋" w:eastAsia="仿宋"/>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jc w:val="center"/>
              <w:rPr>
                <w:rFonts w:ascii="仿宋" w:hAnsi="仿宋" w:eastAsia="仿宋"/>
                <w:szCs w:val="21"/>
              </w:rPr>
            </w:pPr>
            <w:r>
              <w:rPr>
                <w:rFonts w:hint="eastAsia" w:ascii="仿宋" w:hAnsi="仿宋" w:eastAsia="仿宋"/>
                <w:szCs w:val="21"/>
              </w:rPr>
              <w:t>1</w:t>
            </w:r>
          </w:p>
        </w:tc>
        <w:tc>
          <w:tcPr>
            <w:tcW w:w="992" w:type="dxa"/>
            <w:vMerge w:val="restart"/>
            <w:vAlign w:val="center"/>
          </w:tcPr>
          <w:p>
            <w:pPr>
              <w:jc w:val="center"/>
              <w:rPr>
                <w:rFonts w:ascii="仿宋" w:hAnsi="仿宋" w:eastAsia="仿宋"/>
                <w:szCs w:val="21"/>
              </w:rPr>
            </w:pPr>
            <w:r>
              <w:rPr>
                <w:rFonts w:hint="eastAsia" w:ascii="仿宋" w:hAnsi="仿宋" w:eastAsia="仿宋"/>
                <w:szCs w:val="21"/>
              </w:rPr>
              <w:t>林小姐</w:t>
            </w:r>
          </w:p>
        </w:tc>
        <w:tc>
          <w:tcPr>
            <w:tcW w:w="439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仿宋" w:hAnsi="仿宋" w:eastAsia="仿宋" w:cs="Times New Roman"/>
                <w:szCs w:val="24"/>
              </w:rPr>
            </w:pPr>
            <w:r>
              <w:rPr>
                <w:rFonts w:hint="eastAsia" w:ascii="仿宋" w:hAnsi="仿宋" w:eastAsia="仿宋" w:cs="Times New Roman"/>
                <w:szCs w:val="24"/>
              </w:rPr>
              <w:t>1、第四章责任追究中，对建设单位及环评单位的处理都是以环保部《建设项目环境影响报告书（表）编制监督管理办法》中的二十六、二十七条为依据，但是很多环评报告中的硬性问题，监督管理办法没有提到。 比如：一家环评单位的评价标准使用错误，地下水标准直接用了海水水质标准，这种情况根据监督管理办法就没办法根据监督管理办法处理了。</w:t>
            </w: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bottom"/>
              <w:rPr>
                <w:rFonts w:ascii="仿宋" w:hAnsi="仿宋" w:eastAsia="仿宋" w:cs="Times New Roman"/>
                <w:szCs w:val="24"/>
              </w:rPr>
            </w:pPr>
            <w:r>
              <w:rPr>
                <w:rFonts w:hint="eastAsia" w:ascii="仿宋" w:hAnsi="仿宋" w:eastAsia="仿宋" w:cs="Times New Roman"/>
                <w:szCs w:val="24"/>
              </w:rPr>
              <w:t>解释说明</w:t>
            </w:r>
          </w:p>
        </w:tc>
        <w:tc>
          <w:tcPr>
            <w:tcW w:w="6378" w:type="dxa"/>
            <w:tcBorders>
              <w:top w:val="single" w:color="000000" w:sz="4" w:space="0"/>
              <w:left w:val="single" w:color="auto" w:sz="4" w:space="0"/>
              <w:bottom w:val="single" w:color="000000" w:sz="4" w:space="0"/>
              <w:right w:val="single" w:color="000000" w:sz="4" w:space="0"/>
            </w:tcBorders>
            <w:vAlign w:val="center"/>
          </w:tcPr>
          <w:p>
            <w:pPr>
              <w:widowControl/>
              <w:ind w:firstLine="420" w:firstLineChars="200"/>
              <w:textAlignment w:val="bottom"/>
              <w:rPr>
                <w:rFonts w:ascii="仿宋" w:hAnsi="仿宋" w:eastAsia="仿宋" w:cs="Times New Roman"/>
                <w:szCs w:val="24"/>
              </w:rPr>
            </w:pPr>
            <w:r>
              <w:rPr>
                <w:rFonts w:hint="eastAsia" w:ascii="仿宋" w:hAnsi="仿宋" w:eastAsia="仿宋" w:cs="Times New Roman"/>
                <w:szCs w:val="24"/>
              </w:rPr>
              <w:t>关于环境质量标准或污染物排放标准使用错误的问题，经研究认为在《建设项目环境影响报告书（表）编制监督管理办法》中的第二十六条、第二十七条内存在相关问题表述，具体如下：</w:t>
            </w:r>
          </w:p>
          <w:p>
            <w:pPr>
              <w:widowControl/>
              <w:ind w:firstLine="420" w:firstLineChars="200"/>
              <w:textAlignment w:val="bottom"/>
              <w:rPr>
                <w:rFonts w:ascii="仿宋" w:hAnsi="仿宋" w:eastAsia="仿宋" w:cs="Times New Roman"/>
                <w:szCs w:val="24"/>
              </w:rPr>
            </w:pPr>
            <w:r>
              <w:rPr>
                <w:rFonts w:hint="eastAsia" w:ascii="仿宋" w:hAnsi="仿宋" w:eastAsia="仿宋" w:cs="Times New Roman"/>
                <w:szCs w:val="24"/>
              </w:rPr>
              <w:t>环评报告中环境质量标准</w:t>
            </w:r>
            <w:r>
              <w:rPr>
                <w:rFonts w:hint="eastAsia" w:ascii="仿宋" w:hAnsi="仿宋" w:eastAsia="仿宋" w:cs="Times New Roman"/>
                <w:szCs w:val="24"/>
                <w:lang w:val="en-US" w:eastAsia="zh-CN"/>
              </w:rPr>
              <w:t>或污染排放标准</w:t>
            </w:r>
            <w:r>
              <w:rPr>
                <w:rFonts w:hint="eastAsia" w:ascii="仿宋" w:hAnsi="仿宋" w:eastAsia="仿宋" w:cs="Times New Roman"/>
                <w:szCs w:val="24"/>
              </w:rPr>
              <w:t>使用错误会直接导致相关要素环境现状评价的结果出现错误，可认为属于《建设项目环境影响报告书（表）编制监督管理办法》中第二十六条提到的“相关环境要素环境现状调查与评价内容不全或者结果错误的”或第二十七条提到的“未开展环境影响评价范围内的相关环境要素现状调查与评价，或者编造相关内容、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trPr>
        <w:tc>
          <w:tcPr>
            <w:tcW w:w="704" w:type="dxa"/>
            <w:vAlign w:val="center"/>
          </w:tcPr>
          <w:p>
            <w:pPr>
              <w:jc w:val="center"/>
              <w:rPr>
                <w:rFonts w:ascii="仿宋" w:hAnsi="仿宋" w:eastAsia="仿宋"/>
                <w:szCs w:val="21"/>
              </w:rPr>
            </w:pPr>
            <w:r>
              <w:rPr>
                <w:rFonts w:hint="eastAsia" w:ascii="仿宋" w:hAnsi="仿宋" w:eastAsia="仿宋"/>
                <w:szCs w:val="21"/>
              </w:rPr>
              <w:t>2</w:t>
            </w:r>
          </w:p>
        </w:tc>
        <w:tc>
          <w:tcPr>
            <w:tcW w:w="992" w:type="dxa"/>
            <w:vMerge w:val="continue"/>
          </w:tcPr>
          <w:p>
            <w:pPr>
              <w:rPr>
                <w:rFonts w:ascii="仿宋" w:hAnsi="仿宋" w:eastAsia="仿宋"/>
                <w:szCs w:val="21"/>
              </w:rPr>
            </w:pPr>
          </w:p>
        </w:tc>
        <w:tc>
          <w:tcPr>
            <w:tcW w:w="439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仿宋" w:hAnsi="仿宋" w:eastAsia="仿宋" w:cs="Times New Roman"/>
                <w:color w:val="FF0000"/>
                <w:szCs w:val="24"/>
              </w:rPr>
            </w:pPr>
            <w:r>
              <w:rPr>
                <w:rFonts w:hint="eastAsia" w:ascii="仿宋" w:hAnsi="仿宋" w:eastAsia="仿宋" w:cs="Times New Roman"/>
                <w:szCs w:val="24"/>
              </w:rPr>
              <w:t>2、实施日期的问题。发布之日起实施，办法实施后对环评报告进行抽查，如果环评报告是在发布之前编制、公示、报批的，那么也要按照《办法》进行处理吗？还是说《办法》实施后编制、公示、报批的环评报告才适用。对环评报告的抽查，最早可追溯到什么时候编制的环评报告呢？</w:t>
            </w: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bottom"/>
              <w:rPr>
                <w:rFonts w:ascii="仿宋" w:hAnsi="仿宋" w:eastAsia="仿宋" w:cs="Times New Roman"/>
                <w:szCs w:val="24"/>
              </w:rPr>
            </w:pPr>
            <w:r>
              <w:rPr>
                <w:rFonts w:hint="eastAsia" w:ascii="仿宋" w:hAnsi="仿宋" w:eastAsia="仿宋" w:cs="Times New Roman"/>
                <w:szCs w:val="24"/>
              </w:rPr>
              <w:t>解释说明</w:t>
            </w:r>
          </w:p>
        </w:tc>
        <w:tc>
          <w:tcPr>
            <w:tcW w:w="6378" w:type="dxa"/>
            <w:tcBorders>
              <w:top w:val="single" w:color="000000" w:sz="4" w:space="0"/>
              <w:left w:val="single" w:color="auto" w:sz="4" w:space="0"/>
              <w:bottom w:val="single" w:color="000000" w:sz="4" w:space="0"/>
              <w:right w:val="single" w:color="000000" w:sz="4" w:space="0"/>
            </w:tcBorders>
            <w:vAlign w:val="center"/>
          </w:tcPr>
          <w:p>
            <w:pPr>
              <w:widowControl/>
              <w:ind w:firstLine="420" w:firstLineChars="200"/>
              <w:textAlignment w:val="bottom"/>
              <w:rPr>
                <w:rFonts w:ascii="仿宋" w:hAnsi="仿宋" w:eastAsia="仿宋" w:cs="Times New Roman"/>
                <w:szCs w:val="24"/>
              </w:rPr>
            </w:pPr>
            <w:r>
              <w:rPr>
                <w:rFonts w:hint="eastAsia" w:ascii="仿宋" w:hAnsi="仿宋" w:eastAsia="仿宋" w:cs="Times New Roman"/>
                <w:szCs w:val="24"/>
              </w:rPr>
              <w:t>《办法》的编制目的是建立环评文件全过程、全类型的监督检查体系，原则上适用于《办法》发布</w:t>
            </w:r>
            <w:r>
              <w:rPr>
                <w:rFonts w:hint="eastAsia" w:ascii="仿宋" w:hAnsi="仿宋" w:eastAsia="仿宋" w:cs="Times New Roman"/>
                <w:szCs w:val="24"/>
                <w:lang w:val="en-US" w:eastAsia="zh-CN"/>
              </w:rPr>
              <w:t>实施</w:t>
            </w:r>
            <w:bookmarkStart w:id="0" w:name="_GoBack"/>
            <w:bookmarkEnd w:id="0"/>
            <w:r>
              <w:rPr>
                <w:rFonts w:hint="eastAsia" w:ascii="仿宋" w:hAnsi="仿宋" w:eastAsia="仿宋" w:cs="Times New Roman"/>
                <w:szCs w:val="24"/>
              </w:rPr>
              <w:t>后进行公示、受理、审查和审批（备案）后的各类环评报告。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9" w:hRule="atLeast"/>
        </w:trPr>
        <w:tc>
          <w:tcPr>
            <w:tcW w:w="704" w:type="dxa"/>
            <w:vAlign w:val="center"/>
          </w:tcPr>
          <w:p>
            <w:pPr>
              <w:jc w:val="center"/>
              <w:rPr>
                <w:rFonts w:ascii="仿宋" w:hAnsi="仿宋" w:eastAsia="仿宋"/>
                <w:szCs w:val="21"/>
              </w:rPr>
            </w:pPr>
            <w:r>
              <w:rPr>
                <w:rFonts w:hint="eastAsia" w:ascii="仿宋" w:hAnsi="仿宋" w:eastAsia="仿宋"/>
                <w:szCs w:val="21"/>
              </w:rPr>
              <w:t>3</w:t>
            </w:r>
          </w:p>
        </w:tc>
        <w:tc>
          <w:tcPr>
            <w:tcW w:w="992" w:type="dxa"/>
            <w:vAlign w:val="center"/>
          </w:tcPr>
          <w:p>
            <w:pPr>
              <w:jc w:val="center"/>
              <w:rPr>
                <w:rFonts w:ascii="仿宋" w:hAnsi="仿宋" w:eastAsia="仿宋"/>
                <w:szCs w:val="21"/>
              </w:rPr>
            </w:pPr>
            <w:r>
              <w:rPr>
                <w:rFonts w:hint="eastAsia" w:ascii="仿宋" w:hAnsi="仿宋" w:eastAsia="仿宋"/>
                <w:szCs w:val="21"/>
              </w:rPr>
              <w:t>黄小姐</w:t>
            </w:r>
          </w:p>
        </w:tc>
        <w:tc>
          <w:tcPr>
            <w:tcW w:w="439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仿宋" w:hAnsi="仿宋" w:eastAsia="仿宋" w:cs="Times New Roman"/>
                <w:szCs w:val="24"/>
              </w:rPr>
            </w:pPr>
            <w:r>
              <w:rPr>
                <w:rFonts w:hint="eastAsia" w:ascii="仿宋" w:hAnsi="仿宋" w:eastAsia="仿宋" w:cs="Times New Roman"/>
                <w:szCs w:val="24"/>
              </w:rPr>
              <w:t>技术复核发现经批准的告知承诺制审批类环境影响报告书（表）存在不会致使环境影响评价结论不正确、不合理的一般性质量问题的，市生态环境主管部门或各派出机构应告知建设单位对环境影响报告书（表）进行修改完善，并将修改完善的环境影响报告书（表）重新提交。 建议修改为责成建设单位组织环评单位编制施工及现状评估报告，并报监督管理部门备案。理由：对一些已经实施完成的项目重新提交意义不大、且审批的项目重新提交很奇怪，怎么进系统？后续居民闹事，拿哪一份给居民看？ 对建设单位予以通报批评并依法依规予以处罚，建议完善严重质量问题的处理流程，为做到查处分离，建议明确由非审批部门立案查处。</w:t>
            </w: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bottom"/>
              <w:rPr>
                <w:rFonts w:ascii="仿宋" w:hAnsi="仿宋" w:eastAsia="仿宋" w:cs="Times New Roman"/>
                <w:szCs w:val="24"/>
              </w:rPr>
            </w:pPr>
            <w:r>
              <w:rPr>
                <w:rFonts w:hint="eastAsia" w:ascii="仿宋" w:hAnsi="仿宋" w:eastAsia="仿宋" w:cs="Times New Roman"/>
                <w:szCs w:val="24"/>
              </w:rPr>
              <w:t>部分采纳</w:t>
            </w:r>
          </w:p>
        </w:tc>
        <w:tc>
          <w:tcPr>
            <w:tcW w:w="6378" w:type="dxa"/>
            <w:tcBorders>
              <w:top w:val="single" w:color="000000" w:sz="4" w:space="0"/>
              <w:left w:val="single" w:color="auto" w:sz="4" w:space="0"/>
              <w:bottom w:val="single" w:color="000000" w:sz="4" w:space="0"/>
              <w:right w:val="single" w:color="000000" w:sz="4" w:space="0"/>
            </w:tcBorders>
            <w:vAlign w:val="center"/>
          </w:tcPr>
          <w:p>
            <w:pPr>
              <w:widowControl/>
              <w:ind w:firstLine="420" w:firstLineChars="200"/>
              <w:textAlignment w:val="bottom"/>
              <w:rPr>
                <w:rFonts w:ascii="仿宋" w:hAnsi="仿宋" w:eastAsia="仿宋" w:cs="Times New Roman"/>
                <w:szCs w:val="24"/>
              </w:rPr>
            </w:pPr>
            <w:r>
              <w:rPr>
                <w:rFonts w:hint="eastAsia" w:ascii="仿宋" w:hAnsi="仿宋" w:eastAsia="仿宋" w:cs="Times New Roman"/>
                <w:szCs w:val="24"/>
              </w:rPr>
              <w:t>关于告知承诺制审批类环评报告出现一般性质量问题的修改完善必要性。《办法》中对告知承诺制审批类环境影响报告书（表）在技术复核中发现不会致使环境影响评价结论不正确、不合理的一般性质量问题的，提出了修改完善后重新提交的要求。此条款设置主要是考虑到一部分告知承诺制审批类环评报告在技术复核时项目本身尚未开工或尚未完工，技术复核后发现环评文件存在一般质量问题，经修改完善后环评报告仍具有指导意义。若技术复核时项目已完工，亦可以根据实际情况修改环评报告。</w:t>
            </w:r>
          </w:p>
          <w:p>
            <w:pPr>
              <w:widowControl/>
              <w:ind w:firstLine="420" w:firstLineChars="200"/>
              <w:textAlignment w:val="bottom"/>
              <w:rPr>
                <w:rFonts w:ascii="仿宋" w:hAnsi="仿宋" w:eastAsia="仿宋" w:cs="Times New Roman"/>
                <w:szCs w:val="24"/>
              </w:rPr>
            </w:pPr>
            <w:r>
              <w:rPr>
                <w:rFonts w:hint="eastAsia" w:ascii="仿宋" w:hAnsi="仿宋" w:eastAsia="仿宋" w:cs="Times New Roman"/>
                <w:szCs w:val="24"/>
              </w:rPr>
              <w:t>关于对严重质量问题采用查处分离的形式处理的建议，将仔细研究并在后续工作中予以考虑。</w:t>
            </w:r>
          </w:p>
        </w:tc>
      </w:tr>
    </w:tbl>
    <w:p>
      <w:pPr>
        <w:rPr>
          <w:rFonts w:ascii="仿宋_GB2312" w:eastAsia="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SA">
    <w:panose1 w:val="02010604000000000000"/>
    <w:charset w:val="00"/>
    <w:family w:val="auto"/>
    <w:pitch w:val="default"/>
    <w:sig w:usb0="00000000" w:usb1="00000000" w:usb2="00000000" w:usb3="00000000" w:csb0="00000000" w:csb1="00000000"/>
  </w:font>
  <w:font w:name="FSB">
    <w:panose1 w:val="02010604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AF"/>
    <w:rsid w:val="00047784"/>
    <w:rsid w:val="00047C18"/>
    <w:rsid w:val="000674A5"/>
    <w:rsid w:val="00070E3A"/>
    <w:rsid w:val="000834CB"/>
    <w:rsid w:val="000B0531"/>
    <w:rsid w:val="000B2D3A"/>
    <w:rsid w:val="000B3EAB"/>
    <w:rsid w:val="000C3099"/>
    <w:rsid w:val="001232B3"/>
    <w:rsid w:val="00141CF5"/>
    <w:rsid w:val="001709F9"/>
    <w:rsid w:val="0017380B"/>
    <w:rsid w:val="001814B4"/>
    <w:rsid w:val="0018447D"/>
    <w:rsid w:val="001C10F2"/>
    <w:rsid w:val="001C46F9"/>
    <w:rsid w:val="001E0ADE"/>
    <w:rsid w:val="002463E2"/>
    <w:rsid w:val="00264241"/>
    <w:rsid w:val="00296F4C"/>
    <w:rsid w:val="002F408E"/>
    <w:rsid w:val="00324893"/>
    <w:rsid w:val="0033022E"/>
    <w:rsid w:val="00334038"/>
    <w:rsid w:val="0037173F"/>
    <w:rsid w:val="003C319B"/>
    <w:rsid w:val="003F2749"/>
    <w:rsid w:val="00415A37"/>
    <w:rsid w:val="00453681"/>
    <w:rsid w:val="004B0087"/>
    <w:rsid w:val="004F345E"/>
    <w:rsid w:val="005277D0"/>
    <w:rsid w:val="00563738"/>
    <w:rsid w:val="00566947"/>
    <w:rsid w:val="00570F0A"/>
    <w:rsid w:val="00574479"/>
    <w:rsid w:val="005778CF"/>
    <w:rsid w:val="00602728"/>
    <w:rsid w:val="00696709"/>
    <w:rsid w:val="00696B17"/>
    <w:rsid w:val="006B2533"/>
    <w:rsid w:val="006F18AB"/>
    <w:rsid w:val="0070650D"/>
    <w:rsid w:val="00760AEE"/>
    <w:rsid w:val="007E104B"/>
    <w:rsid w:val="007F4E54"/>
    <w:rsid w:val="008636AC"/>
    <w:rsid w:val="008800D8"/>
    <w:rsid w:val="008C3CC6"/>
    <w:rsid w:val="008D25F6"/>
    <w:rsid w:val="008D7A64"/>
    <w:rsid w:val="00905425"/>
    <w:rsid w:val="00913E6A"/>
    <w:rsid w:val="00915710"/>
    <w:rsid w:val="00940B09"/>
    <w:rsid w:val="009457FE"/>
    <w:rsid w:val="009467E2"/>
    <w:rsid w:val="00964F67"/>
    <w:rsid w:val="0097403C"/>
    <w:rsid w:val="00A45E9F"/>
    <w:rsid w:val="00A52ACF"/>
    <w:rsid w:val="00A959DA"/>
    <w:rsid w:val="00AA7580"/>
    <w:rsid w:val="00AD254A"/>
    <w:rsid w:val="00AE1DAF"/>
    <w:rsid w:val="00B53BC1"/>
    <w:rsid w:val="00B94EE4"/>
    <w:rsid w:val="00BC7BA2"/>
    <w:rsid w:val="00BD10E5"/>
    <w:rsid w:val="00BF3742"/>
    <w:rsid w:val="00BF5E63"/>
    <w:rsid w:val="00C6357A"/>
    <w:rsid w:val="00C7042E"/>
    <w:rsid w:val="00C70BAC"/>
    <w:rsid w:val="00C83280"/>
    <w:rsid w:val="00C97566"/>
    <w:rsid w:val="00CA2825"/>
    <w:rsid w:val="00D11D1D"/>
    <w:rsid w:val="00D17827"/>
    <w:rsid w:val="00D371DA"/>
    <w:rsid w:val="00D67712"/>
    <w:rsid w:val="00D75B12"/>
    <w:rsid w:val="00DA56DB"/>
    <w:rsid w:val="00DC2547"/>
    <w:rsid w:val="00DC2F5B"/>
    <w:rsid w:val="00E12933"/>
    <w:rsid w:val="00E1305B"/>
    <w:rsid w:val="00E43BCE"/>
    <w:rsid w:val="00E7405F"/>
    <w:rsid w:val="00ED3763"/>
    <w:rsid w:val="00EF6BDF"/>
    <w:rsid w:val="00F3299A"/>
    <w:rsid w:val="00F66F56"/>
    <w:rsid w:val="00FC634E"/>
    <w:rsid w:val="00FE2385"/>
    <w:rsid w:val="0C7700B9"/>
    <w:rsid w:val="11455BB6"/>
    <w:rsid w:val="14B659D1"/>
    <w:rsid w:val="14E85FF7"/>
    <w:rsid w:val="32765558"/>
    <w:rsid w:val="32E7579F"/>
    <w:rsid w:val="346270C8"/>
    <w:rsid w:val="54AE5C0B"/>
    <w:rsid w:val="61DB3DDC"/>
    <w:rsid w:val="641563FD"/>
    <w:rsid w:val="67410285"/>
    <w:rsid w:val="713B1F32"/>
    <w:rsid w:val="71A534FB"/>
    <w:rsid w:val="7C10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40309-B390-4EEE-806E-0C0B727D54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218</Words>
  <Characters>1244</Characters>
  <Lines>10</Lines>
  <Paragraphs>2</Paragraphs>
  <TotalTime>186</TotalTime>
  <ScaleCrop>false</ScaleCrop>
  <LinksUpToDate>false</LinksUpToDate>
  <CharactersWithSpaces>1460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2020-09-30T03:05:00Z</dcterms:created>
  <dc:creator>林挺</dc:creator>
  <cp:lastModifiedBy>张勇华</cp:lastModifiedBy>
  <cp:lastPrinted>2020-11-02T02:12:19Z</cp:lastPrinted>
  <dcterms:modified xsi:type="dcterms:W3CDTF">2020-11-02T02:51:41Z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